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A3793C5" w:rsidR="001413A5" w:rsidRPr="006349CF" w:rsidRDefault="00907C95" w:rsidP="00006C95">
      <w:pPr>
        <w:jc w:val="center"/>
        <w:rPr>
          <w:rFonts w:ascii="Titillium" w:hAnsi="Titillium"/>
          <w:b/>
          <w:bCs/>
          <w:color w:val="0070C0"/>
          <w:sz w:val="32"/>
          <w:szCs w:val="32"/>
        </w:rPr>
      </w:pPr>
      <w:r w:rsidRPr="006349CF">
        <w:rPr>
          <w:rFonts w:ascii="Titillium" w:hAnsi="Titillium"/>
          <w:b/>
          <w:bCs/>
          <w:color w:val="0070C0"/>
          <w:sz w:val="32"/>
          <w:szCs w:val="32"/>
        </w:rPr>
        <w:t>Regolamento per l’attribuzione dell’attestato di qualità e</w:t>
      </w:r>
      <w:r w:rsidR="00A96F94">
        <w:rPr>
          <w:rFonts w:ascii="Titillium" w:hAnsi="Titillium"/>
          <w:b/>
          <w:bCs/>
          <w:color w:val="0070C0"/>
          <w:sz w:val="32"/>
          <w:szCs w:val="32"/>
        </w:rPr>
        <w:br/>
      </w:r>
      <w:r w:rsidRPr="006349CF">
        <w:rPr>
          <w:rFonts w:ascii="Titillium" w:hAnsi="Titillium"/>
          <w:b/>
          <w:bCs/>
          <w:color w:val="0070C0"/>
          <w:sz w:val="32"/>
          <w:szCs w:val="32"/>
        </w:rPr>
        <w:t>di qualificazione professionale dei servizi prestati dai soci</w:t>
      </w:r>
    </w:p>
    <w:p w14:paraId="6EEDF328" w14:textId="430E25F9" w:rsidR="00576DD6" w:rsidRDefault="00006C95" w:rsidP="00006C95">
      <w:pPr>
        <w:jc w:val="center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Approvato</w:t>
      </w:r>
      <w:r>
        <w:rPr>
          <w:rFonts w:ascii="Titillium" w:hAnsi="Titillium"/>
          <w:sz w:val="20"/>
          <w:szCs w:val="20"/>
        </w:rPr>
        <w:br/>
        <w:t>in sede costituente il</w:t>
      </w:r>
      <w:r>
        <w:rPr>
          <w:rFonts w:ascii="Titillium" w:hAnsi="Titillium"/>
          <w:sz w:val="20"/>
          <w:szCs w:val="20"/>
        </w:rPr>
        <w:br/>
        <w:t>15 luglio 2020</w:t>
      </w:r>
    </w:p>
    <w:p w14:paraId="6A1253FA" w14:textId="03DF9FD5" w:rsidR="00006C95" w:rsidRDefault="00006C95" w:rsidP="00006C95">
      <w:pPr>
        <w:rPr>
          <w:rFonts w:ascii="Titillium" w:hAnsi="Titillium"/>
          <w:sz w:val="20"/>
          <w:szCs w:val="20"/>
        </w:rPr>
      </w:pPr>
    </w:p>
    <w:p w14:paraId="35035ABD" w14:textId="77777777" w:rsidR="0055317D" w:rsidRDefault="0055317D" w:rsidP="00006C95">
      <w:pPr>
        <w:rPr>
          <w:rFonts w:ascii="Titillium" w:hAnsi="Titillium"/>
          <w:sz w:val="20"/>
          <w:szCs w:val="20"/>
        </w:rPr>
      </w:pPr>
    </w:p>
    <w:p w14:paraId="5E95EED5" w14:textId="5CCC02B8" w:rsidR="00A96F94" w:rsidRPr="00006C95" w:rsidRDefault="00A96F94" w:rsidP="00A96F94">
      <w:pPr>
        <w:rPr>
          <w:rFonts w:ascii="Titillium" w:hAnsi="Titillium"/>
          <w:b/>
          <w:bCs/>
          <w:sz w:val="20"/>
          <w:szCs w:val="20"/>
        </w:rPr>
      </w:pPr>
      <w:r>
        <w:rPr>
          <w:rFonts w:ascii="Titillium" w:hAnsi="Titillium"/>
          <w:b/>
          <w:bCs/>
          <w:sz w:val="20"/>
          <w:szCs w:val="20"/>
        </w:rPr>
        <w:t>Premessa</w:t>
      </w:r>
    </w:p>
    <w:p w14:paraId="2DB903E4" w14:textId="29CA0083" w:rsidR="00A96F94" w:rsidRPr="00A96F94" w:rsidRDefault="00A96F94" w:rsidP="00A96F94">
      <w:pPr>
        <w:rPr>
          <w:rFonts w:ascii="Titillium" w:hAnsi="Titillium"/>
          <w:sz w:val="20"/>
          <w:szCs w:val="20"/>
        </w:rPr>
      </w:pPr>
      <w:r w:rsidRPr="00A96F94">
        <w:rPr>
          <w:rFonts w:ascii="Titillium" w:hAnsi="Titillium"/>
          <w:sz w:val="20"/>
          <w:szCs w:val="20"/>
        </w:rPr>
        <w:t>La Legge 4/2013 introduce un sistema di regolamentazione in materia di professioni non organizzate in ordini e collegi.</w:t>
      </w:r>
    </w:p>
    <w:p w14:paraId="3C124AB0" w14:textId="77777777" w:rsidR="00A96F94" w:rsidRDefault="00A96F94" w:rsidP="00A96F94">
      <w:pPr>
        <w:rPr>
          <w:rFonts w:ascii="Titillium" w:hAnsi="Titillium"/>
          <w:sz w:val="20"/>
          <w:szCs w:val="20"/>
        </w:rPr>
      </w:pPr>
    </w:p>
    <w:p w14:paraId="2DD71F31" w14:textId="56A281FB" w:rsidR="00A96F94" w:rsidRPr="00A96F94" w:rsidRDefault="00A96F94" w:rsidP="00A96F94">
      <w:pPr>
        <w:rPr>
          <w:rFonts w:ascii="Titillium" w:hAnsi="Titillium"/>
          <w:sz w:val="20"/>
          <w:szCs w:val="20"/>
        </w:rPr>
      </w:pPr>
      <w:r w:rsidRPr="00A96F94">
        <w:rPr>
          <w:rFonts w:ascii="Titillium" w:hAnsi="Titillium"/>
          <w:sz w:val="20"/>
          <w:szCs w:val="20"/>
        </w:rPr>
        <w:t xml:space="preserve">Gli </w:t>
      </w:r>
      <w:r w:rsidRPr="00A96F94">
        <w:rPr>
          <w:rFonts w:ascii="Titillium" w:hAnsi="Titillium"/>
          <w:b/>
          <w:bCs/>
          <w:sz w:val="20"/>
          <w:szCs w:val="20"/>
        </w:rPr>
        <w:t>animatori per la gioventù</w:t>
      </w:r>
      <w:r w:rsidR="00E22AA8">
        <w:rPr>
          <w:rFonts w:ascii="Titillium" w:hAnsi="Titillium"/>
          <w:b/>
          <w:bCs/>
          <w:sz w:val="20"/>
          <w:szCs w:val="20"/>
        </w:rPr>
        <w:t xml:space="preserve"> (Youth </w:t>
      </w:r>
      <w:proofErr w:type="spellStart"/>
      <w:r w:rsidR="00E22AA8">
        <w:rPr>
          <w:rFonts w:ascii="Titillium" w:hAnsi="Titillium"/>
          <w:b/>
          <w:bCs/>
          <w:sz w:val="20"/>
          <w:szCs w:val="20"/>
        </w:rPr>
        <w:t>Worker</w:t>
      </w:r>
      <w:proofErr w:type="spellEnd"/>
      <w:proofErr w:type="gramStart"/>
      <w:r w:rsidR="00E22AA8">
        <w:rPr>
          <w:rFonts w:ascii="Titillium" w:hAnsi="Titillium"/>
          <w:b/>
          <w:bCs/>
          <w:sz w:val="20"/>
          <w:szCs w:val="20"/>
        </w:rPr>
        <w:t xml:space="preserve">) </w:t>
      </w:r>
      <w:r w:rsidRPr="00A96F94">
        <w:rPr>
          <w:rFonts w:ascii="Titillium" w:hAnsi="Titillium"/>
          <w:sz w:val="20"/>
          <w:szCs w:val="20"/>
        </w:rPr>
        <w:t>,</w:t>
      </w:r>
      <w:proofErr w:type="gramEnd"/>
      <w:r w:rsidRPr="00A96F94">
        <w:rPr>
          <w:rFonts w:ascii="Titillium" w:hAnsi="Titillium"/>
          <w:sz w:val="20"/>
          <w:szCs w:val="20"/>
        </w:rPr>
        <w:t xml:space="preserve"> i </w:t>
      </w:r>
      <w:r w:rsidRPr="00A96F94">
        <w:rPr>
          <w:rFonts w:ascii="Titillium" w:hAnsi="Titillium"/>
          <w:b/>
          <w:bCs/>
          <w:sz w:val="20"/>
          <w:szCs w:val="20"/>
        </w:rPr>
        <w:t>formatori per la gioventù</w:t>
      </w:r>
      <w:r w:rsidRPr="00A96F94">
        <w:rPr>
          <w:rFonts w:ascii="Titillium" w:hAnsi="Titillium"/>
          <w:sz w:val="20"/>
          <w:szCs w:val="20"/>
        </w:rPr>
        <w:t xml:space="preserve"> e gli </w:t>
      </w:r>
      <w:r w:rsidRPr="00A96F94">
        <w:rPr>
          <w:rFonts w:ascii="Titillium" w:hAnsi="Titillium"/>
          <w:b/>
          <w:bCs/>
          <w:sz w:val="20"/>
          <w:szCs w:val="20"/>
        </w:rPr>
        <w:t>animatori socio-educativi</w:t>
      </w:r>
      <w:r w:rsidRPr="00A96F94">
        <w:rPr>
          <w:rFonts w:ascii="Titillium" w:hAnsi="Titillium"/>
          <w:sz w:val="20"/>
          <w:szCs w:val="20"/>
        </w:rPr>
        <w:t xml:space="preserve"> rientrano tra le professioni non </w:t>
      </w:r>
      <w:proofErr w:type="spellStart"/>
      <w:r w:rsidRPr="00A96F94">
        <w:rPr>
          <w:rFonts w:ascii="Titillium" w:hAnsi="Titillium"/>
          <w:sz w:val="20"/>
          <w:szCs w:val="20"/>
        </w:rPr>
        <w:t>ordinistiche</w:t>
      </w:r>
      <w:proofErr w:type="spellEnd"/>
      <w:r w:rsidRPr="00A96F94">
        <w:rPr>
          <w:rFonts w:ascii="Titillium" w:hAnsi="Titillium"/>
          <w:sz w:val="20"/>
          <w:szCs w:val="20"/>
        </w:rPr>
        <w:t xml:space="preserve"> e quindi sono regolate dalla Legge 4/2013. Tale norma</w:t>
      </w:r>
      <w:r>
        <w:rPr>
          <w:rFonts w:ascii="Titillium" w:hAnsi="Titillium"/>
          <w:sz w:val="20"/>
          <w:szCs w:val="20"/>
        </w:rPr>
        <w:t>,</w:t>
      </w:r>
      <w:r w:rsidRPr="00A96F94">
        <w:rPr>
          <w:rFonts w:ascii="Titillium" w:hAnsi="Titillium"/>
          <w:sz w:val="20"/>
          <w:szCs w:val="20"/>
        </w:rPr>
        <w:t xml:space="preserve"> all’art</w:t>
      </w:r>
      <w:r>
        <w:rPr>
          <w:rFonts w:ascii="Titillium" w:hAnsi="Titillium"/>
          <w:sz w:val="20"/>
          <w:szCs w:val="20"/>
        </w:rPr>
        <w:t>.</w:t>
      </w:r>
      <w:r w:rsidRPr="00A96F94">
        <w:rPr>
          <w:rFonts w:ascii="Titillium" w:hAnsi="Titillium"/>
          <w:sz w:val="20"/>
          <w:szCs w:val="20"/>
        </w:rPr>
        <w:t xml:space="preserve"> 2</w:t>
      </w:r>
      <w:r>
        <w:rPr>
          <w:rFonts w:ascii="Titillium" w:hAnsi="Titillium"/>
          <w:sz w:val="20"/>
          <w:szCs w:val="20"/>
        </w:rPr>
        <w:t>,</w:t>
      </w:r>
      <w:r w:rsidRPr="00A96F94">
        <w:rPr>
          <w:rFonts w:ascii="Titillium" w:hAnsi="Titillium"/>
          <w:sz w:val="20"/>
          <w:szCs w:val="20"/>
        </w:rPr>
        <w:t xml:space="preserve"> individua un ruolo peculiare per le associazioni professionali e precisamente:</w:t>
      </w:r>
    </w:p>
    <w:p w14:paraId="30D45AB7" w14:textId="4D20DCD0" w:rsidR="00A96F94" w:rsidRPr="00A96F94" w:rsidRDefault="00A96F94" w:rsidP="00A96F94">
      <w:pPr>
        <w:pStyle w:val="Paragrafoelenco"/>
        <w:numPr>
          <w:ilvl w:val="0"/>
          <w:numId w:val="27"/>
        </w:numPr>
        <w:ind w:left="284" w:hanging="284"/>
        <w:rPr>
          <w:rFonts w:ascii="Titillium" w:hAnsi="Titillium"/>
          <w:sz w:val="20"/>
          <w:szCs w:val="20"/>
        </w:rPr>
      </w:pPr>
      <w:r w:rsidRPr="00A96F94">
        <w:rPr>
          <w:rFonts w:ascii="Titillium" w:hAnsi="Titillium"/>
          <w:sz w:val="20"/>
          <w:szCs w:val="20"/>
        </w:rPr>
        <w:t>non hanno vincoli di rappresentanza esclusiva (possono esistere pi</w:t>
      </w:r>
      <w:r w:rsidRPr="00A96F94">
        <w:rPr>
          <w:rFonts w:ascii="Titillium" w:hAnsi="Titillium" w:cs="Titillium"/>
          <w:sz w:val="20"/>
          <w:szCs w:val="20"/>
        </w:rPr>
        <w:t>ù</w:t>
      </w:r>
      <w:r w:rsidRPr="00A96F94">
        <w:rPr>
          <w:rFonts w:ascii="Titillium" w:hAnsi="Titillium"/>
          <w:sz w:val="20"/>
          <w:szCs w:val="20"/>
        </w:rPr>
        <w:t xml:space="preserve"> associazioni per la stessa attivit</w:t>
      </w:r>
      <w:r w:rsidRPr="00A96F94">
        <w:rPr>
          <w:rFonts w:ascii="Titillium" w:hAnsi="Titillium" w:cs="Titillium"/>
          <w:sz w:val="20"/>
          <w:szCs w:val="20"/>
        </w:rPr>
        <w:t>à</w:t>
      </w:r>
      <w:r w:rsidRPr="00A96F94">
        <w:rPr>
          <w:rFonts w:ascii="Titillium" w:hAnsi="Titillium"/>
          <w:sz w:val="20"/>
          <w:szCs w:val="20"/>
        </w:rPr>
        <w:t xml:space="preserve"> professionale) n</w:t>
      </w:r>
      <w:r w:rsidRPr="00A96F94">
        <w:rPr>
          <w:rFonts w:ascii="Titillium" w:hAnsi="Titillium" w:cs="Titillium"/>
          <w:sz w:val="20"/>
          <w:szCs w:val="20"/>
        </w:rPr>
        <w:t>é</w:t>
      </w:r>
      <w:r w:rsidRPr="00A96F94">
        <w:rPr>
          <w:rFonts w:ascii="Titillium" w:hAnsi="Titillium"/>
          <w:sz w:val="20"/>
          <w:szCs w:val="20"/>
        </w:rPr>
        <w:t xml:space="preserve"> scopo di lucro;</w:t>
      </w:r>
    </w:p>
    <w:p w14:paraId="5DA8F5FF" w14:textId="035512F1" w:rsidR="00A96F94" w:rsidRPr="00A96F94" w:rsidRDefault="00A96F94" w:rsidP="00A96F94">
      <w:pPr>
        <w:pStyle w:val="Paragrafoelenco"/>
        <w:numPr>
          <w:ilvl w:val="0"/>
          <w:numId w:val="27"/>
        </w:numPr>
        <w:ind w:left="284" w:hanging="284"/>
        <w:rPr>
          <w:rFonts w:ascii="Titillium" w:hAnsi="Titillium"/>
          <w:sz w:val="20"/>
          <w:szCs w:val="20"/>
        </w:rPr>
      </w:pPr>
      <w:r w:rsidRPr="00A96F94">
        <w:rPr>
          <w:rFonts w:ascii="Titillium" w:hAnsi="Titillium"/>
          <w:sz w:val="20"/>
          <w:szCs w:val="20"/>
        </w:rPr>
        <w:t>hanno il fine di valorizzare le competenze degli associati e garantire il rispetto delle regole deontologiche per agevolare la scelta e la tutela degli utenti nel rispetto delle regole sulla concorrenza;</w:t>
      </w:r>
    </w:p>
    <w:p w14:paraId="35F21779" w14:textId="11F0EF3C" w:rsidR="00A96F94" w:rsidRPr="00A96F94" w:rsidRDefault="00A96F94" w:rsidP="00A96F94">
      <w:pPr>
        <w:pStyle w:val="Paragrafoelenco"/>
        <w:numPr>
          <w:ilvl w:val="0"/>
          <w:numId w:val="27"/>
        </w:numPr>
        <w:ind w:left="284" w:hanging="284"/>
        <w:rPr>
          <w:rFonts w:ascii="Titillium" w:hAnsi="Titillium"/>
          <w:sz w:val="20"/>
          <w:szCs w:val="20"/>
        </w:rPr>
      </w:pPr>
      <w:r w:rsidRPr="00A96F94">
        <w:rPr>
          <w:rFonts w:ascii="Titillium" w:hAnsi="Titillium"/>
          <w:sz w:val="20"/>
          <w:szCs w:val="20"/>
        </w:rPr>
        <w:t>garantiscono trasparenza delle attivit</w:t>
      </w:r>
      <w:r w:rsidRPr="00A96F94">
        <w:rPr>
          <w:rFonts w:ascii="Titillium" w:hAnsi="Titillium" w:cs="Titillium"/>
          <w:sz w:val="20"/>
          <w:szCs w:val="20"/>
        </w:rPr>
        <w:t>à</w:t>
      </w:r>
      <w:r w:rsidRPr="00A96F94">
        <w:rPr>
          <w:rFonts w:ascii="Titillium" w:hAnsi="Titillium"/>
          <w:sz w:val="20"/>
          <w:szCs w:val="20"/>
        </w:rPr>
        <w:t xml:space="preserve"> e degli assetti associativi, dialettica democratica tra gli associati, l’osservanza dei principi deontologici e una struttura organizzativa adeguata alle finalità dell’associazione;</w:t>
      </w:r>
    </w:p>
    <w:p w14:paraId="237B3CA6" w14:textId="70F18DB4" w:rsidR="00A96F94" w:rsidRPr="00A96F94" w:rsidRDefault="00A96F94" w:rsidP="00A96F94">
      <w:pPr>
        <w:pStyle w:val="Paragrafoelenco"/>
        <w:numPr>
          <w:ilvl w:val="0"/>
          <w:numId w:val="27"/>
        </w:numPr>
        <w:ind w:left="284" w:hanging="284"/>
        <w:rPr>
          <w:rFonts w:ascii="Titillium" w:hAnsi="Titillium"/>
          <w:sz w:val="20"/>
          <w:szCs w:val="20"/>
        </w:rPr>
      </w:pPr>
      <w:r w:rsidRPr="00A96F94">
        <w:rPr>
          <w:rFonts w:ascii="Titillium" w:hAnsi="Titillium"/>
          <w:sz w:val="20"/>
          <w:szCs w:val="20"/>
        </w:rPr>
        <w:t>promuovono la formazione permanente dei propri iscritti;</w:t>
      </w:r>
    </w:p>
    <w:p w14:paraId="49D26EEA" w14:textId="1C34D06B" w:rsidR="00A96F94" w:rsidRPr="00A96F94" w:rsidRDefault="00A96F94" w:rsidP="00A96F94">
      <w:pPr>
        <w:pStyle w:val="Paragrafoelenco"/>
        <w:numPr>
          <w:ilvl w:val="0"/>
          <w:numId w:val="27"/>
        </w:numPr>
        <w:ind w:left="284" w:hanging="284"/>
        <w:rPr>
          <w:rFonts w:ascii="Titillium" w:hAnsi="Titillium"/>
          <w:sz w:val="20"/>
          <w:szCs w:val="20"/>
        </w:rPr>
      </w:pPr>
      <w:r w:rsidRPr="00A96F94">
        <w:rPr>
          <w:rFonts w:ascii="Titillium" w:hAnsi="Titillium"/>
          <w:sz w:val="20"/>
          <w:szCs w:val="20"/>
        </w:rPr>
        <w:t>adottano un codice di condotta (art. 27 bis del Codice del Consumo);</w:t>
      </w:r>
    </w:p>
    <w:p w14:paraId="28F5F335" w14:textId="0D73AD3F" w:rsidR="00A96F94" w:rsidRPr="00A96F94" w:rsidRDefault="00A96F94" w:rsidP="00A96F94">
      <w:pPr>
        <w:pStyle w:val="Paragrafoelenco"/>
        <w:numPr>
          <w:ilvl w:val="0"/>
          <w:numId w:val="27"/>
        </w:numPr>
        <w:ind w:left="284" w:hanging="284"/>
        <w:rPr>
          <w:rFonts w:ascii="Titillium" w:hAnsi="Titillium"/>
          <w:sz w:val="20"/>
          <w:szCs w:val="20"/>
        </w:rPr>
      </w:pPr>
      <w:r w:rsidRPr="00A96F94">
        <w:rPr>
          <w:rFonts w:ascii="Titillium" w:hAnsi="Titillium"/>
          <w:sz w:val="20"/>
          <w:szCs w:val="20"/>
        </w:rPr>
        <w:t>vigilano sulla condotta professionale dei loro associati e stabiliscono le sanzioni derivanti dalla violazione del codice di condotta.</w:t>
      </w:r>
    </w:p>
    <w:p w14:paraId="7E7FF6D1" w14:textId="77777777" w:rsidR="00A96F94" w:rsidRPr="00A96F94" w:rsidRDefault="00A96F94" w:rsidP="00A96F94">
      <w:pPr>
        <w:rPr>
          <w:rFonts w:ascii="Titillium" w:hAnsi="Titillium"/>
          <w:sz w:val="20"/>
          <w:szCs w:val="20"/>
        </w:rPr>
      </w:pPr>
    </w:p>
    <w:p w14:paraId="0E2CA378" w14:textId="77777777" w:rsidR="00A96F94" w:rsidRPr="00A96F94" w:rsidRDefault="00A96F94" w:rsidP="00A96F94">
      <w:pPr>
        <w:rPr>
          <w:rFonts w:ascii="Titillium" w:hAnsi="Titillium"/>
          <w:sz w:val="20"/>
          <w:szCs w:val="20"/>
        </w:rPr>
      </w:pPr>
      <w:r w:rsidRPr="00A96F94">
        <w:rPr>
          <w:rFonts w:ascii="Titillium" w:hAnsi="Titillium"/>
          <w:sz w:val="20"/>
          <w:szCs w:val="20"/>
        </w:rPr>
        <w:t xml:space="preserve">Le associazioni iscritte nella seconda sezione dell’elenco MISE possono rilasciare </w:t>
      </w:r>
      <w:r w:rsidRPr="00A96F94">
        <w:rPr>
          <w:rFonts w:ascii="Titillium" w:hAnsi="Titillium"/>
          <w:b/>
          <w:bCs/>
          <w:sz w:val="20"/>
          <w:szCs w:val="20"/>
        </w:rPr>
        <w:t>attestato di qualità e di qualificazione professionale dei servizi prestati dai soci</w:t>
      </w:r>
      <w:r w:rsidRPr="00A96F94">
        <w:rPr>
          <w:rFonts w:ascii="Titillium" w:hAnsi="Titillium"/>
          <w:sz w:val="20"/>
          <w:szCs w:val="20"/>
        </w:rPr>
        <w:t xml:space="preserve"> (Legge 4/2013, artt. 4, 7 e 8).</w:t>
      </w:r>
    </w:p>
    <w:p w14:paraId="50F66332" w14:textId="69E9E2F7" w:rsidR="00A96F94" w:rsidRDefault="00A96F94" w:rsidP="00A96F94">
      <w:pPr>
        <w:rPr>
          <w:rFonts w:ascii="Titillium" w:hAnsi="Titillium"/>
          <w:sz w:val="20"/>
          <w:szCs w:val="20"/>
        </w:rPr>
      </w:pPr>
      <w:r w:rsidRPr="00A96F94">
        <w:rPr>
          <w:rFonts w:ascii="Titillium" w:hAnsi="Titillium"/>
          <w:sz w:val="20"/>
          <w:szCs w:val="20"/>
        </w:rPr>
        <w:t xml:space="preserve">Tale attestato </w:t>
      </w:r>
      <w:r>
        <w:rPr>
          <w:rFonts w:ascii="Titillium" w:hAnsi="Titillium"/>
          <w:sz w:val="20"/>
          <w:szCs w:val="20"/>
        </w:rPr>
        <w:t>-</w:t>
      </w:r>
      <w:r w:rsidRPr="00A96F94">
        <w:rPr>
          <w:rFonts w:ascii="Titillium" w:hAnsi="Titillium"/>
          <w:sz w:val="20"/>
          <w:szCs w:val="20"/>
        </w:rPr>
        <w:t xml:space="preserve"> che non costituisce requisito necessario per l'esercizio dell'attività professionale </w:t>
      </w:r>
      <w:r>
        <w:rPr>
          <w:rFonts w:ascii="Titillium" w:hAnsi="Titillium"/>
          <w:sz w:val="20"/>
          <w:szCs w:val="20"/>
        </w:rPr>
        <w:t xml:space="preserve">- </w:t>
      </w:r>
      <w:r w:rsidRPr="00A96F94">
        <w:rPr>
          <w:rFonts w:ascii="Titillium" w:hAnsi="Titillium"/>
          <w:sz w:val="20"/>
          <w:szCs w:val="20"/>
        </w:rPr>
        <w:t>è uno strumento a garanzia della qualità dei servizi erogati.</w:t>
      </w:r>
    </w:p>
    <w:p w14:paraId="4B8770FC" w14:textId="77777777" w:rsidR="00A96F94" w:rsidRDefault="00A96F94" w:rsidP="00006C95">
      <w:pPr>
        <w:rPr>
          <w:rFonts w:ascii="Titillium" w:hAnsi="Titillium"/>
          <w:sz w:val="20"/>
          <w:szCs w:val="20"/>
        </w:rPr>
      </w:pPr>
    </w:p>
    <w:p w14:paraId="35F96663" w14:textId="77777777" w:rsidR="00006C95" w:rsidRPr="00576DD6" w:rsidRDefault="00006C95" w:rsidP="00006C95">
      <w:pPr>
        <w:rPr>
          <w:rFonts w:ascii="Titillium" w:hAnsi="Titillium"/>
          <w:sz w:val="20"/>
          <w:szCs w:val="20"/>
        </w:rPr>
      </w:pPr>
    </w:p>
    <w:p w14:paraId="26DC2DF3" w14:textId="77777777" w:rsidR="00576DD6" w:rsidRDefault="00576DD6" w:rsidP="00006C95">
      <w:pPr>
        <w:rPr>
          <w:rFonts w:ascii="Titillium" w:hAnsi="Titillium"/>
          <w:sz w:val="20"/>
          <w:szCs w:val="20"/>
        </w:rPr>
        <w:sectPr w:rsidR="00576DD6" w:rsidSect="00006C95">
          <w:headerReference w:type="default" r:id="rId7"/>
          <w:footerReference w:type="default" r:id="rId8"/>
          <w:pgSz w:w="11900" w:h="16840" w:code="9"/>
          <w:pgMar w:top="2552" w:right="1134" w:bottom="1134" w:left="1134" w:header="709" w:footer="709" w:gutter="0"/>
          <w:pgNumType w:start="1"/>
          <w:cols w:space="720"/>
        </w:sectPr>
      </w:pPr>
    </w:p>
    <w:p w14:paraId="20271FF6" w14:textId="6D1BCE3D" w:rsidR="0055317D" w:rsidRPr="0055317D" w:rsidRDefault="0055317D" w:rsidP="0055317D">
      <w:pPr>
        <w:rPr>
          <w:rFonts w:ascii="Titillium" w:hAnsi="Titillium"/>
          <w:b/>
          <w:bCs/>
          <w:sz w:val="20"/>
          <w:szCs w:val="20"/>
        </w:rPr>
      </w:pPr>
      <w:bookmarkStart w:id="0" w:name="_Hlk45730516"/>
      <w:r w:rsidRPr="0055317D">
        <w:rPr>
          <w:rFonts w:ascii="Titillium" w:hAnsi="Titillium"/>
          <w:b/>
          <w:bCs/>
          <w:sz w:val="20"/>
          <w:szCs w:val="20"/>
        </w:rPr>
        <w:t>Articolo 1</w:t>
      </w:r>
    </w:p>
    <w:p w14:paraId="1801E30E" w14:textId="77777777" w:rsidR="0055317D" w:rsidRPr="0055317D" w:rsidRDefault="0055317D" w:rsidP="0055317D">
      <w:pPr>
        <w:rPr>
          <w:rFonts w:ascii="Titillium" w:hAnsi="Titillium"/>
          <w:b/>
          <w:bCs/>
          <w:color w:val="0070C0"/>
          <w:sz w:val="20"/>
          <w:szCs w:val="20"/>
        </w:rPr>
      </w:pPr>
      <w:r w:rsidRPr="0055317D">
        <w:rPr>
          <w:rFonts w:ascii="Titillium" w:hAnsi="Titillium"/>
          <w:b/>
          <w:bCs/>
          <w:color w:val="0070C0"/>
          <w:sz w:val="20"/>
          <w:szCs w:val="20"/>
        </w:rPr>
        <w:t>Identità dell’Associazione</w:t>
      </w:r>
    </w:p>
    <w:p w14:paraId="51F5F2EA" w14:textId="77777777" w:rsidR="0055317D" w:rsidRDefault="0055317D" w:rsidP="0055317D">
      <w:pPr>
        <w:rPr>
          <w:rFonts w:ascii="Titillium" w:hAnsi="Titillium"/>
          <w:sz w:val="20"/>
          <w:szCs w:val="20"/>
        </w:rPr>
      </w:pPr>
      <w:r w:rsidRPr="0055317D">
        <w:rPr>
          <w:rFonts w:ascii="Titillium" w:hAnsi="Titillium"/>
          <w:sz w:val="20"/>
          <w:szCs w:val="20"/>
        </w:rPr>
        <w:t xml:space="preserve">L'Associazione degli </w:t>
      </w:r>
      <w:r w:rsidRPr="0055317D">
        <w:rPr>
          <w:rFonts w:ascii="Titillium" w:hAnsi="Titillium"/>
          <w:b/>
          <w:bCs/>
          <w:sz w:val="20"/>
          <w:szCs w:val="20"/>
        </w:rPr>
        <w:t>Animatori per la Gioventù</w:t>
      </w:r>
      <w:r w:rsidRPr="0055317D">
        <w:rPr>
          <w:rFonts w:ascii="Titillium" w:hAnsi="Titillium"/>
          <w:sz w:val="20"/>
          <w:szCs w:val="20"/>
        </w:rPr>
        <w:t xml:space="preserve"> </w:t>
      </w:r>
      <w:r>
        <w:rPr>
          <w:rFonts w:ascii="Titillium" w:hAnsi="Titillium"/>
          <w:sz w:val="20"/>
          <w:szCs w:val="20"/>
        </w:rPr>
        <w:t>(</w:t>
      </w:r>
      <w:r w:rsidRPr="0055317D">
        <w:rPr>
          <w:rFonts w:ascii="Titillium" w:hAnsi="Titillium"/>
          <w:sz w:val="20"/>
          <w:szCs w:val="20"/>
        </w:rPr>
        <w:t xml:space="preserve">anche </w:t>
      </w:r>
      <w:r>
        <w:rPr>
          <w:rFonts w:ascii="Titillium" w:hAnsi="Titillium"/>
          <w:sz w:val="20"/>
          <w:szCs w:val="20"/>
        </w:rPr>
        <w:t>d</w:t>
      </w:r>
      <w:r w:rsidRPr="0055317D">
        <w:rPr>
          <w:rFonts w:ascii="Titillium" w:hAnsi="Titillium"/>
          <w:sz w:val="20"/>
          <w:szCs w:val="20"/>
        </w:rPr>
        <w:t xml:space="preserve">etti </w:t>
      </w:r>
      <w:proofErr w:type="spellStart"/>
      <w:r w:rsidRPr="0055317D">
        <w:rPr>
          <w:rFonts w:ascii="Titillium" w:hAnsi="Titillium"/>
          <w:i/>
          <w:iCs/>
          <w:sz w:val="20"/>
          <w:szCs w:val="20"/>
        </w:rPr>
        <w:t>youth</w:t>
      </w:r>
      <w:proofErr w:type="spellEnd"/>
      <w:r w:rsidRPr="0055317D">
        <w:rPr>
          <w:rFonts w:ascii="Titillium" w:hAnsi="Titillium"/>
          <w:i/>
          <w:iCs/>
          <w:sz w:val="20"/>
          <w:szCs w:val="20"/>
        </w:rPr>
        <w:t xml:space="preserve"> </w:t>
      </w:r>
      <w:proofErr w:type="spellStart"/>
      <w:r w:rsidRPr="0055317D">
        <w:rPr>
          <w:rFonts w:ascii="Titillium" w:hAnsi="Titillium"/>
          <w:i/>
          <w:iCs/>
          <w:sz w:val="20"/>
          <w:szCs w:val="20"/>
        </w:rPr>
        <w:t>worker</w:t>
      </w:r>
      <w:proofErr w:type="spellEnd"/>
      <w:r>
        <w:rPr>
          <w:rFonts w:ascii="Titillium" w:hAnsi="Titillium"/>
          <w:sz w:val="20"/>
          <w:szCs w:val="20"/>
        </w:rPr>
        <w:t>),</w:t>
      </w:r>
      <w:r w:rsidRPr="0055317D">
        <w:rPr>
          <w:rFonts w:ascii="Titillium" w:hAnsi="Titillium"/>
          <w:sz w:val="20"/>
          <w:szCs w:val="20"/>
        </w:rPr>
        <w:t xml:space="preserve"> dei </w:t>
      </w:r>
      <w:r w:rsidRPr="0055317D">
        <w:rPr>
          <w:rFonts w:ascii="Titillium" w:hAnsi="Titillium"/>
          <w:b/>
          <w:bCs/>
          <w:sz w:val="20"/>
          <w:szCs w:val="20"/>
        </w:rPr>
        <w:t>Formatori per la Gioventù</w:t>
      </w:r>
      <w:r w:rsidRPr="0055317D">
        <w:rPr>
          <w:rFonts w:ascii="Titillium" w:hAnsi="Titillium"/>
          <w:sz w:val="20"/>
          <w:szCs w:val="20"/>
        </w:rPr>
        <w:t xml:space="preserve"> e</w:t>
      </w:r>
      <w:r>
        <w:rPr>
          <w:rFonts w:ascii="Titillium" w:hAnsi="Titillium"/>
          <w:sz w:val="20"/>
          <w:szCs w:val="20"/>
        </w:rPr>
        <w:t xml:space="preserve"> degli</w:t>
      </w:r>
      <w:r w:rsidRPr="0055317D">
        <w:rPr>
          <w:rFonts w:ascii="Titillium" w:hAnsi="Titillium"/>
          <w:sz w:val="20"/>
          <w:szCs w:val="20"/>
        </w:rPr>
        <w:t xml:space="preserve"> </w:t>
      </w:r>
      <w:r w:rsidRPr="0055317D">
        <w:rPr>
          <w:rFonts w:ascii="Titillium" w:hAnsi="Titillium"/>
          <w:b/>
          <w:bCs/>
          <w:sz w:val="20"/>
          <w:szCs w:val="20"/>
        </w:rPr>
        <w:t>Animatori socio-educativi</w:t>
      </w:r>
      <w:r w:rsidRPr="0055317D">
        <w:rPr>
          <w:rFonts w:ascii="Titillium" w:hAnsi="Titillium"/>
          <w:sz w:val="20"/>
          <w:szCs w:val="20"/>
        </w:rPr>
        <w:t xml:space="preserve">, di seguito denominata </w:t>
      </w:r>
      <w:r w:rsidRPr="0055317D">
        <w:rPr>
          <w:rFonts w:ascii="Titillium" w:hAnsi="Titillium"/>
          <w:b/>
          <w:bCs/>
          <w:sz w:val="20"/>
          <w:szCs w:val="20"/>
        </w:rPr>
        <w:t>NINFEA</w:t>
      </w:r>
      <w:r w:rsidRPr="0055317D">
        <w:rPr>
          <w:rFonts w:ascii="Titillium" w:hAnsi="Titillium"/>
          <w:sz w:val="20"/>
          <w:szCs w:val="20"/>
        </w:rPr>
        <w:t xml:space="preserve"> (</w:t>
      </w:r>
      <w:r w:rsidRPr="0055317D">
        <w:rPr>
          <w:rFonts w:ascii="Titillium" w:hAnsi="Titillium"/>
          <w:i/>
          <w:iCs/>
          <w:sz w:val="20"/>
          <w:szCs w:val="20"/>
        </w:rPr>
        <w:t xml:space="preserve">National </w:t>
      </w:r>
      <w:proofErr w:type="spellStart"/>
      <w:r w:rsidRPr="0055317D">
        <w:rPr>
          <w:rFonts w:ascii="Titillium" w:hAnsi="Titillium"/>
          <w:i/>
          <w:iCs/>
          <w:sz w:val="20"/>
          <w:szCs w:val="20"/>
        </w:rPr>
        <w:t>Informal</w:t>
      </w:r>
      <w:proofErr w:type="spellEnd"/>
      <w:r w:rsidRPr="0055317D">
        <w:rPr>
          <w:rFonts w:ascii="Titillium" w:hAnsi="Titillium"/>
          <w:i/>
          <w:iCs/>
          <w:sz w:val="20"/>
          <w:szCs w:val="20"/>
        </w:rPr>
        <w:t xml:space="preserve"> and Non-</w:t>
      </w:r>
      <w:proofErr w:type="spellStart"/>
      <w:r w:rsidRPr="0055317D">
        <w:rPr>
          <w:rFonts w:ascii="Titillium" w:hAnsi="Titillium"/>
          <w:i/>
          <w:iCs/>
          <w:sz w:val="20"/>
          <w:szCs w:val="20"/>
        </w:rPr>
        <w:t>Formal</w:t>
      </w:r>
      <w:proofErr w:type="spellEnd"/>
      <w:r w:rsidRPr="0055317D">
        <w:rPr>
          <w:rFonts w:ascii="Titillium" w:hAnsi="Titillium"/>
          <w:i/>
          <w:iCs/>
          <w:sz w:val="20"/>
          <w:szCs w:val="20"/>
        </w:rPr>
        <w:t xml:space="preserve"> </w:t>
      </w:r>
      <w:proofErr w:type="spellStart"/>
      <w:r w:rsidRPr="0055317D">
        <w:rPr>
          <w:rFonts w:ascii="Titillium" w:hAnsi="Titillium"/>
          <w:i/>
          <w:iCs/>
          <w:sz w:val="20"/>
          <w:szCs w:val="20"/>
        </w:rPr>
        <w:t>Education</w:t>
      </w:r>
      <w:proofErr w:type="spellEnd"/>
      <w:r w:rsidRPr="0055317D">
        <w:rPr>
          <w:rFonts w:ascii="Titillium" w:hAnsi="Titillium"/>
          <w:i/>
          <w:iCs/>
          <w:sz w:val="20"/>
          <w:szCs w:val="20"/>
        </w:rPr>
        <w:t xml:space="preserve"> </w:t>
      </w:r>
      <w:proofErr w:type="spellStart"/>
      <w:r w:rsidRPr="0055317D">
        <w:rPr>
          <w:rFonts w:ascii="Titillium" w:hAnsi="Titillium"/>
          <w:i/>
          <w:iCs/>
          <w:sz w:val="20"/>
          <w:szCs w:val="20"/>
        </w:rPr>
        <w:t>Association</w:t>
      </w:r>
      <w:proofErr w:type="spellEnd"/>
      <w:r w:rsidRPr="0055317D">
        <w:rPr>
          <w:rFonts w:ascii="Titillium" w:hAnsi="Titillium"/>
          <w:i/>
          <w:iCs/>
          <w:sz w:val="20"/>
          <w:szCs w:val="20"/>
        </w:rPr>
        <w:t xml:space="preserve"> - Associazione Nazionale per l’Educazione Informale e Non Formale</w:t>
      </w:r>
      <w:r w:rsidRPr="0055317D">
        <w:rPr>
          <w:rFonts w:ascii="Titillium" w:hAnsi="Titillium"/>
          <w:sz w:val="20"/>
          <w:szCs w:val="20"/>
        </w:rPr>
        <w:t>) ha come fine di valorizzare le competenze degli associati e delle associate e garantire il rispetto delle regole deontologiche, agevolando la scelta e la tutela dell'utenza nel rispetto delle regole sulla concorrenza; senza vincoli di rappresentanza esclusiva.</w:t>
      </w:r>
    </w:p>
    <w:p w14:paraId="11C050BB" w14:textId="77777777" w:rsidR="0055317D" w:rsidRDefault="0055317D" w:rsidP="0055317D">
      <w:pPr>
        <w:rPr>
          <w:rFonts w:ascii="Titillium" w:hAnsi="Titillium"/>
          <w:sz w:val="20"/>
          <w:szCs w:val="20"/>
        </w:rPr>
      </w:pPr>
      <w:r w:rsidRPr="0055317D">
        <w:rPr>
          <w:rFonts w:ascii="Titillium" w:hAnsi="Titillium"/>
          <w:sz w:val="20"/>
          <w:szCs w:val="20"/>
        </w:rPr>
        <w:t>L'Associazione promuove la professione dell’</w:t>
      </w:r>
      <w:r w:rsidRPr="0055317D">
        <w:rPr>
          <w:rFonts w:ascii="Titillium" w:hAnsi="Titillium"/>
          <w:b/>
          <w:bCs/>
          <w:sz w:val="20"/>
          <w:szCs w:val="20"/>
        </w:rPr>
        <w:t>Animatore della Gioventù</w:t>
      </w:r>
      <w:r w:rsidRPr="0055317D">
        <w:rPr>
          <w:rFonts w:ascii="Titillium" w:hAnsi="Titillium"/>
          <w:sz w:val="20"/>
          <w:szCs w:val="20"/>
        </w:rPr>
        <w:t xml:space="preserve"> </w:t>
      </w:r>
      <w:r>
        <w:rPr>
          <w:rFonts w:ascii="Titillium" w:hAnsi="Titillium"/>
          <w:sz w:val="20"/>
          <w:szCs w:val="20"/>
        </w:rPr>
        <w:t>(</w:t>
      </w:r>
      <w:r w:rsidRPr="0055317D">
        <w:rPr>
          <w:rFonts w:ascii="Titillium" w:hAnsi="Titillium"/>
          <w:sz w:val="20"/>
          <w:szCs w:val="20"/>
        </w:rPr>
        <w:t xml:space="preserve">anche detto </w:t>
      </w:r>
      <w:proofErr w:type="spellStart"/>
      <w:r w:rsidRPr="0055317D">
        <w:rPr>
          <w:rFonts w:ascii="Titillium" w:hAnsi="Titillium"/>
          <w:i/>
          <w:iCs/>
          <w:sz w:val="20"/>
          <w:szCs w:val="20"/>
        </w:rPr>
        <w:t>youth</w:t>
      </w:r>
      <w:proofErr w:type="spellEnd"/>
      <w:r w:rsidRPr="0055317D">
        <w:rPr>
          <w:rFonts w:ascii="Titillium" w:hAnsi="Titillium"/>
          <w:i/>
          <w:iCs/>
          <w:sz w:val="20"/>
          <w:szCs w:val="20"/>
        </w:rPr>
        <w:t xml:space="preserve"> </w:t>
      </w:r>
      <w:proofErr w:type="spellStart"/>
      <w:r w:rsidRPr="0055317D">
        <w:rPr>
          <w:rFonts w:ascii="Titillium" w:hAnsi="Titillium"/>
          <w:i/>
          <w:iCs/>
          <w:sz w:val="20"/>
          <w:szCs w:val="20"/>
        </w:rPr>
        <w:t>worker</w:t>
      </w:r>
      <w:proofErr w:type="spellEnd"/>
      <w:r>
        <w:rPr>
          <w:rFonts w:ascii="Titillium" w:hAnsi="Titillium"/>
          <w:sz w:val="20"/>
          <w:szCs w:val="20"/>
        </w:rPr>
        <w:t xml:space="preserve">), </w:t>
      </w:r>
      <w:r w:rsidRPr="0055317D">
        <w:rPr>
          <w:rFonts w:ascii="Titillium" w:hAnsi="Titillium"/>
          <w:sz w:val="20"/>
          <w:szCs w:val="20"/>
        </w:rPr>
        <w:t xml:space="preserve">del </w:t>
      </w:r>
      <w:r w:rsidRPr="0055317D">
        <w:rPr>
          <w:rFonts w:ascii="Titillium" w:hAnsi="Titillium"/>
          <w:b/>
          <w:bCs/>
          <w:sz w:val="20"/>
          <w:szCs w:val="20"/>
        </w:rPr>
        <w:t>Formatore per la Gioventù</w:t>
      </w:r>
      <w:r w:rsidRPr="0055317D">
        <w:rPr>
          <w:rFonts w:ascii="Titillium" w:hAnsi="Titillium"/>
          <w:sz w:val="20"/>
          <w:szCs w:val="20"/>
        </w:rPr>
        <w:t xml:space="preserve"> e dell’</w:t>
      </w:r>
      <w:r w:rsidRPr="0055317D">
        <w:rPr>
          <w:rFonts w:ascii="Titillium" w:hAnsi="Titillium"/>
          <w:b/>
          <w:bCs/>
          <w:sz w:val="20"/>
          <w:szCs w:val="20"/>
        </w:rPr>
        <w:t xml:space="preserve">Animatore </w:t>
      </w:r>
      <w:proofErr w:type="gramStart"/>
      <w:r w:rsidRPr="0055317D">
        <w:rPr>
          <w:rFonts w:ascii="Titillium" w:hAnsi="Titillium"/>
          <w:b/>
          <w:bCs/>
          <w:sz w:val="20"/>
          <w:szCs w:val="20"/>
        </w:rPr>
        <w:t>socio-educativo</w:t>
      </w:r>
      <w:proofErr w:type="gramEnd"/>
      <w:r w:rsidRPr="0055317D">
        <w:rPr>
          <w:rFonts w:ascii="Titillium" w:hAnsi="Titillium"/>
          <w:sz w:val="20"/>
          <w:szCs w:val="20"/>
        </w:rPr>
        <w:t>.</w:t>
      </w:r>
    </w:p>
    <w:p w14:paraId="3FDE5215" w14:textId="19E5E01E" w:rsidR="0055317D" w:rsidRDefault="0055317D" w:rsidP="0055317D">
      <w:pPr>
        <w:rPr>
          <w:rFonts w:ascii="Titillium" w:hAnsi="Titillium"/>
          <w:sz w:val="20"/>
          <w:szCs w:val="20"/>
        </w:rPr>
      </w:pPr>
      <w:r w:rsidRPr="0055317D">
        <w:rPr>
          <w:rFonts w:ascii="Titillium" w:hAnsi="Titillium"/>
          <w:sz w:val="20"/>
          <w:szCs w:val="20"/>
        </w:rPr>
        <w:t>L'Associazione ha sede legale presso la località di residenza del presidente.</w:t>
      </w:r>
    </w:p>
    <w:p w14:paraId="35CD7CDB" w14:textId="77777777" w:rsidR="0055317D" w:rsidRDefault="0055317D" w:rsidP="0055317D">
      <w:pPr>
        <w:rPr>
          <w:rFonts w:ascii="Titillium" w:hAnsi="Titillium"/>
          <w:sz w:val="20"/>
          <w:szCs w:val="20"/>
        </w:rPr>
      </w:pPr>
      <w:r w:rsidRPr="0055317D">
        <w:rPr>
          <w:rFonts w:ascii="Titillium" w:hAnsi="Titillium"/>
          <w:sz w:val="20"/>
          <w:szCs w:val="20"/>
        </w:rPr>
        <w:t>La sua durata è illimitata.</w:t>
      </w:r>
    </w:p>
    <w:p w14:paraId="732FAA56" w14:textId="77777777" w:rsidR="00101AF1" w:rsidRDefault="00101AF1" w:rsidP="0055317D">
      <w:pPr>
        <w:rPr>
          <w:rFonts w:ascii="Titillium" w:hAnsi="Titillium"/>
          <w:sz w:val="20"/>
          <w:szCs w:val="20"/>
        </w:rPr>
      </w:pPr>
    </w:p>
    <w:p w14:paraId="40A85146" w14:textId="292B0A1C" w:rsidR="0055317D" w:rsidRPr="0055317D" w:rsidRDefault="0055317D" w:rsidP="0055317D">
      <w:pPr>
        <w:rPr>
          <w:rFonts w:ascii="Titillium" w:hAnsi="Titillium"/>
          <w:sz w:val="20"/>
          <w:szCs w:val="20"/>
        </w:rPr>
      </w:pPr>
      <w:r w:rsidRPr="0055317D">
        <w:rPr>
          <w:rFonts w:ascii="Titillium" w:hAnsi="Titillium"/>
          <w:sz w:val="20"/>
          <w:szCs w:val="20"/>
        </w:rPr>
        <w:t xml:space="preserve">L'Associazione è di natura privatistica, su base volontaria ed opera senza discriminazione di genere. L’associazione </w:t>
      </w:r>
      <w:r w:rsidR="00101AF1">
        <w:rPr>
          <w:rFonts w:ascii="Titillium" w:hAnsi="Titillium"/>
          <w:sz w:val="20"/>
          <w:szCs w:val="20"/>
        </w:rPr>
        <w:t>pone una</w:t>
      </w:r>
      <w:r w:rsidRPr="0055317D">
        <w:rPr>
          <w:rFonts w:ascii="Titillium" w:hAnsi="Titillium"/>
          <w:sz w:val="20"/>
          <w:szCs w:val="20"/>
        </w:rPr>
        <w:t xml:space="preserve"> continua attenzione all’implementazione di strumenti e meccanismi che garantiscano una reale politica di parità di genere in tutte le sue forme di partecipazione alla vita associativa attiva e un riconoscimento di tutti gli elementi fondamentali per un approccio </w:t>
      </w:r>
      <w:r w:rsidRPr="00101AF1">
        <w:rPr>
          <w:rFonts w:ascii="Titillium" w:hAnsi="Titillium"/>
          <w:i/>
          <w:iCs/>
          <w:sz w:val="20"/>
          <w:szCs w:val="20"/>
        </w:rPr>
        <w:t>gender sensitive</w:t>
      </w:r>
      <w:r w:rsidRPr="0055317D">
        <w:rPr>
          <w:rFonts w:ascii="Titillium" w:hAnsi="Titillium"/>
          <w:sz w:val="20"/>
          <w:szCs w:val="20"/>
        </w:rPr>
        <w:t>.</w:t>
      </w:r>
    </w:p>
    <w:p w14:paraId="2C86C1FB" w14:textId="06A6A11A" w:rsidR="0055317D" w:rsidRPr="00101AF1" w:rsidRDefault="0055317D" w:rsidP="0055317D">
      <w:pPr>
        <w:rPr>
          <w:rFonts w:ascii="Titillium" w:hAnsi="Titillium"/>
          <w:b/>
          <w:bCs/>
          <w:sz w:val="20"/>
          <w:szCs w:val="20"/>
        </w:rPr>
      </w:pPr>
      <w:r w:rsidRPr="00101AF1">
        <w:rPr>
          <w:rFonts w:ascii="Titillium" w:hAnsi="Titillium"/>
          <w:b/>
          <w:bCs/>
          <w:sz w:val="20"/>
          <w:szCs w:val="20"/>
        </w:rPr>
        <w:t>Articolo 2</w:t>
      </w:r>
    </w:p>
    <w:p w14:paraId="6BE45583" w14:textId="77777777" w:rsidR="0055317D" w:rsidRPr="00101AF1" w:rsidRDefault="0055317D" w:rsidP="0055317D">
      <w:pPr>
        <w:rPr>
          <w:rFonts w:ascii="Titillium" w:hAnsi="Titillium"/>
          <w:b/>
          <w:bCs/>
          <w:color w:val="0070C0"/>
          <w:sz w:val="20"/>
          <w:szCs w:val="20"/>
        </w:rPr>
      </w:pPr>
      <w:r w:rsidRPr="00101AF1">
        <w:rPr>
          <w:rFonts w:ascii="Titillium" w:hAnsi="Titillium"/>
          <w:b/>
          <w:bCs/>
          <w:color w:val="0070C0"/>
          <w:sz w:val="20"/>
          <w:szCs w:val="20"/>
        </w:rPr>
        <w:t>Natura della attestazione di qualità</w:t>
      </w:r>
    </w:p>
    <w:p w14:paraId="005E29CF" w14:textId="417F1FA9" w:rsidR="0055317D" w:rsidRPr="0055317D" w:rsidRDefault="0055317D" w:rsidP="0055317D">
      <w:pPr>
        <w:rPr>
          <w:rFonts w:ascii="Titillium" w:hAnsi="Titillium"/>
          <w:sz w:val="20"/>
          <w:szCs w:val="20"/>
        </w:rPr>
      </w:pPr>
      <w:r w:rsidRPr="0055317D">
        <w:rPr>
          <w:rFonts w:ascii="Titillium" w:hAnsi="Titillium"/>
          <w:sz w:val="20"/>
          <w:szCs w:val="20"/>
        </w:rPr>
        <w:t>L'attestato rilasciato da NINFEA ai membri dell’Associazione nell’esercizio della propria professionalità garantisce all’utenza:</w:t>
      </w:r>
    </w:p>
    <w:p w14:paraId="37768A6B" w14:textId="304C66E3" w:rsidR="0055317D" w:rsidRPr="00101AF1" w:rsidRDefault="00101AF1" w:rsidP="00101AF1">
      <w:pPr>
        <w:pStyle w:val="Paragrafoelenco"/>
        <w:numPr>
          <w:ilvl w:val="0"/>
          <w:numId w:val="28"/>
        </w:numPr>
        <w:ind w:left="284" w:hanging="284"/>
        <w:contextualSpacing w:val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i</w:t>
      </w:r>
      <w:r w:rsidR="0055317D" w:rsidRPr="00101AF1">
        <w:rPr>
          <w:rFonts w:ascii="Titillium" w:hAnsi="Titillium"/>
          <w:sz w:val="20"/>
          <w:szCs w:val="20"/>
        </w:rPr>
        <w:t xml:space="preserve">l possesso dei requisiti di accesso definiti dal presente </w:t>
      </w:r>
      <w:r>
        <w:rPr>
          <w:rFonts w:ascii="Titillium" w:hAnsi="Titillium"/>
          <w:sz w:val="20"/>
          <w:szCs w:val="20"/>
        </w:rPr>
        <w:t>Regolamento</w:t>
      </w:r>
      <w:r w:rsidR="0055317D" w:rsidRPr="00101AF1">
        <w:rPr>
          <w:rFonts w:ascii="Titillium" w:hAnsi="Titillium"/>
          <w:sz w:val="20"/>
          <w:szCs w:val="20"/>
        </w:rPr>
        <w:t>;</w:t>
      </w:r>
    </w:p>
    <w:p w14:paraId="59A908C2" w14:textId="1A4026B1" w:rsidR="0055317D" w:rsidRPr="00101AF1" w:rsidRDefault="0055317D" w:rsidP="00101AF1">
      <w:pPr>
        <w:pStyle w:val="Paragrafoelenco"/>
        <w:numPr>
          <w:ilvl w:val="0"/>
          <w:numId w:val="28"/>
        </w:numPr>
        <w:ind w:left="284" w:hanging="284"/>
        <w:contextualSpacing w:val="0"/>
        <w:rPr>
          <w:rFonts w:ascii="Titillium" w:hAnsi="Titillium"/>
          <w:sz w:val="20"/>
          <w:szCs w:val="20"/>
        </w:rPr>
      </w:pPr>
      <w:r w:rsidRPr="00101AF1">
        <w:rPr>
          <w:rFonts w:ascii="Titillium" w:hAnsi="Titillium"/>
          <w:sz w:val="20"/>
          <w:szCs w:val="20"/>
        </w:rPr>
        <w:t>il rispetto del codice deontologico dell</w:t>
      </w:r>
      <w:r w:rsidRPr="00101AF1">
        <w:rPr>
          <w:rFonts w:ascii="Titillium" w:hAnsi="Titillium" w:cs="Titillium"/>
          <w:sz w:val="20"/>
          <w:szCs w:val="20"/>
        </w:rPr>
        <w:t>’</w:t>
      </w:r>
      <w:r w:rsidRPr="00101AF1">
        <w:rPr>
          <w:rFonts w:ascii="Titillium" w:hAnsi="Titillium"/>
          <w:sz w:val="20"/>
          <w:szCs w:val="20"/>
        </w:rPr>
        <w:t>Associazione</w:t>
      </w:r>
      <w:r w:rsidR="00101AF1">
        <w:rPr>
          <w:rFonts w:ascii="Titillium" w:hAnsi="Titillium"/>
          <w:sz w:val="20"/>
          <w:szCs w:val="20"/>
        </w:rPr>
        <w:t>;</w:t>
      </w:r>
    </w:p>
    <w:p w14:paraId="44C1D331" w14:textId="46A5D088" w:rsidR="0055317D" w:rsidRPr="00101AF1" w:rsidRDefault="0055317D" w:rsidP="00101AF1">
      <w:pPr>
        <w:pStyle w:val="Paragrafoelenco"/>
        <w:numPr>
          <w:ilvl w:val="0"/>
          <w:numId w:val="28"/>
        </w:numPr>
        <w:ind w:left="284" w:hanging="284"/>
        <w:contextualSpacing w:val="0"/>
        <w:rPr>
          <w:rFonts w:ascii="Titillium" w:hAnsi="Titillium"/>
          <w:sz w:val="20"/>
          <w:szCs w:val="20"/>
        </w:rPr>
      </w:pPr>
      <w:bookmarkStart w:id="1" w:name="_Hlk90903664"/>
      <w:r w:rsidRPr="00101AF1">
        <w:rPr>
          <w:rFonts w:ascii="Titillium" w:hAnsi="Titillium"/>
          <w:sz w:val="20"/>
          <w:szCs w:val="20"/>
        </w:rPr>
        <w:t>l</w:t>
      </w:r>
      <w:r w:rsidRPr="00101AF1">
        <w:rPr>
          <w:rFonts w:ascii="Titillium" w:hAnsi="Titillium" w:cs="Titillium"/>
          <w:sz w:val="20"/>
          <w:szCs w:val="20"/>
        </w:rPr>
        <w:t>’</w:t>
      </w:r>
      <w:r w:rsidR="00B50ECC">
        <w:rPr>
          <w:rFonts w:ascii="Titillium" w:hAnsi="Titillium" w:cs="Titillium"/>
          <w:sz w:val="20"/>
          <w:szCs w:val="20"/>
        </w:rPr>
        <w:t xml:space="preserve">assolvimento dell’obbligo di </w:t>
      </w:r>
      <w:r w:rsidRPr="00101AF1">
        <w:rPr>
          <w:rFonts w:ascii="Titillium" w:hAnsi="Titillium"/>
          <w:sz w:val="20"/>
          <w:szCs w:val="20"/>
        </w:rPr>
        <w:t>aggiornamento</w:t>
      </w:r>
      <w:r w:rsidR="00B50ECC">
        <w:rPr>
          <w:rFonts w:ascii="Titillium" w:hAnsi="Titillium"/>
          <w:sz w:val="20"/>
          <w:szCs w:val="20"/>
        </w:rPr>
        <w:t xml:space="preserve"> professionale</w:t>
      </w:r>
      <w:r w:rsidRPr="00101AF1">
        <w:rPr>
          <w:rFonts w:ascii="Titillium" w:hAnsi="Titillium"/>
          <w:sz w:val="20"/>
          <w:szCs w:val="20"/>
        </w:rPr>
        <w:t xml:space="preserve"> </w:t>
      </w:r>
      <w:bookmarkEnd w:id="1"/>
      <w:r w:rsidRPr="00101AF1">
        <w:rPr>
          <w:rFonts w:ascii="Titillium" w:hAnsi="Titillium"/>
          <w:sz w:val="20"/>
          <w:szCs w:val="20"/>
        </w:rPr>
        <w:t xml:space="preserve">secondo le prescrizioni del presente </w:t>
      </w:r>
      <w:r w:rsidR="00101AF1">
        <w:rPr>
          <w:rFonts w:ascii="Titillium" w:hAnsi="Titillium"/>
          <w:sz w:val="20"/>
          <w:szCs w:val="20"/>
        </w:rPr>
        <w:t>R</w:t>
      </w:r>
      <w:r w:rsidRPr="00101AF1">
        <w:rPr>
          <w:rFonts w:ascii="Titillium" w:hAnsi="Titillium"/>
          <w:sz w:val="20"/>
          <w:szCs w:val="20"/>
        </w:rPr>
        <w:t>egolamento.</w:t>
      </w:r>
    </w:p>
    <w:p w14:paraId="5ACFDB09" w14:textId="77777777" w:rsidR="0055317D" w:rsidRPr="0055317D" w:rsidRDefault="0055317D" w:rsidP="0055317D">
      <w:pPr>
        <w:rPr>
          <w:rFonts w:ascii="Titillium" w:hAnsi="Titillium"/>
          <w:sz w:val="20"/>
          <w:szCs w:val="20"/>
        </w:rPr>
      </w:pPr>
    </w:p>
    <w:p w14:paraId="7312D91C" w14:textId="2D8686E6" w:rsidR="0055317D" w:rsidRPr="0055317D" w:rsidRDefault="0055317D" w:rsidP="0055317D">
      <w:pPr>
        <w:rPr>
          <w:rFonts w:ascii="Titillium" w:hAnsi="Titillium"/>
          <w:sz w:val="20"/>
          <w:szCs w:val="20"/>
        </w:rPr>
      </w:pPr>
      <w:r w:rsidRPr="0055317D">
        <w:rPr>
          <w:rFonts w:ascii="Titillium" w:hAnsi="Titillium"/>
          <w:sz w:val="20"/>
          <w:szCs w:val="20"/>
        </w:rPr>
        <w:lastRenderedPageBreak/>
        <w:t>L’associazione garantisce la tutela dell’utente attraverso un apposito sportello per la cittadinanza, ai sensi dell’art</w:t>
      </w:r>
      <w:r w:rsidR="00101AF1">
        <w:rPr>
          <w:rFonts w:ascii="Titillium" w:hAnsi="Titillium"/>
          <w:sz w:val="20"/>
          <w:szCs w:val="20"/>
        </w:rPr>
        <w:t>.</w:t>
      </w:r>
      <w:r w:rsidRPr="0055317D">
        <w:rPr>
          <w:rFonts w:ascii="Titillium" w:hAnsi="Titillium"/>
          <w:sz w:val="20"/>
          <w:szCs w:val="20"/>
        </w:rPr>
        <w:t xml:space="preserve"> 2, c</w:t>
      </w:r>
      <w:r w:rsidR="00101AF1">
        <w:rPr>
          <w:rFonts w:ascii="Titillium" w:hAnsi="Titillium"/>
          <w:sz w:val="20"/>
          <w:szCs w:val="20"/>
        </w:rPr>
        <w:t>omma</w:t>
      </w:r>
      <w:r w:rsidRPr="0055317D">
        <w:rPr>
          <w:rFonts w:ascii="Titillium" w:hAnsi="Titillium"/>
          <w:sz w:val="20"/>
          <w:szCs w:val="20"/>
        </w:rPr>
        <w:t xml:space="preserve"> 4</w:t>
      </w:r>
      <w:r w:rsidR="00101AF1">
        <w:rPr>
          <w:rFonts w:ascii="Titillium" w:hAnsi="Titillium"/>
          <w:sz w:val="20"/>
          <w:szCs w:val="20"/>
        </w:rPr>
        <w:t>,</w:t>
      </w:r>
      <w:r w:rsidRPr="0055317D">
        <w:rPr>
          <w:rFonts w:ascii="Titillium" w:hAnsi="Titillium"/>
          <w:sz w:val="20"/>
          <w:szCs w:val="20"/>
        </w:rPr>
        <w:t xml:space="preserve"> della </w:t>
      </w:r>
      <w:r w:rsidR="00101AF1" w:rsidRPr="00A96F94">
        <w:rPr>
          <w:rFonts w:ascii="Titillium" w:hAnsi="Titillium"/>
          <w:sz w:val="20"/>
          <w:szCs w:val="20"/>
        </w:rPr>
        <w:t>Legge 4/2013</w:t>
      </w:r>
      <w:r w:rsidR="00101AF1">
        <w:rPr>
          <w:rFonts w:ascii="Titillium" w:hAnsi="Titillium"/>
          <w:sz w:val="20"/>
          <w:szCs w:val="20"/>
        </w:rPr>
        <w:t>.</w:t>
      </w:r>
    </w:p>
    <w:p w14:paraId="351FF624" w14:textId="77777777" w:rsidR="0055317D" w:rsidRPr="0055317D" w:rsidRDefault="0055317D" w:rsidP="0055317D">
      <w:pPr>
        <w:rPr>
          <w:rFonts w:ascii="Titillium" w:hAnsi="Titillium"/>
          <w:sz w:val="20"/>
          <w:szCs w:val="20"/>
        </w:rPr>
      </w:pPr>
    </w:p>
    <w:p w14:paraId="7ECBF443" w14:textId="75A21A3D" w:rsidR="0055317D" w:rsidRPr="0055317D" w:rsidRDefault="0055317D" w:rsidP="0055317D">
      <w:pPr>
        <w:rPr>
          <w:rFonts w:ascii="Titillium" w:hAnsi="Titillium"/>
          <w:sz w:val="20"/>
          <w:szCs w:val="20"/>
        </w:rPr>
      </w:pPr>
      <w:r w:rsidRPr="0055317D">
        <w:rPr>
          <w:rFonts w:ascii="Titillium" w:hAnsi="Titillium"/>
          <w:sz w:val="20"/>
          <w:szCs w:val="20"/>
        </w:rPr>
        <w:t>L’attestazione può essere effettuata</w:t>
      </w:r>
      <w:r w:rsidR="00E22AA8">
        <w:rPr>
          <w:rFonts w:ascii="Titillium" w:hAnsi="Titillium"/>
          <w:sz w:val="20"/>
          <w:szCs w:val="20"/>
        </w:rPr>
        <w:t xml:space="preserve"> </w:t>
      </w:r>
      <w:r w:rsidRPr="0055317D">
        <w:rPr>
          <w:rFonts w:ascii="Titillium" w:hAnsi="Titillium"/>
          <w:sz w:val="20"/>
          <w:szCs w:val="20"/>
        </w:rPr>
        <w:t>ad</w:t>
      </w:r>
      <w:r w:rsidR="00101AF1">
        <w:rPr>
          <w:rFonts w:ascii="Titillium" w:hAnsi="Titillium"/>
          <w:sz w:val="20"/>
          <w:szCs w:val="20"/>
        </w:rPr>
        <w:t xml:space="preserve"> </w:t>
      </w:r>
      <w:r w:rsidRPr="0055317D">
        <w:rPr>
          <w:rFonts w:ascii="Titillium" w:hAnsi="Titillium"/>
          <w:sz w:val="20"/>
          <w:szCs w:val="20"/>
        </w:rPr>
        <w:t xml:space="preserve">una o più delle seguenti categorie: </w:t>
      </w:r>
    </w:p>
    <w:p w14:paraId="7166BBBA" w14:textId="5909E789" w:rsidR="0055317D" w:rsidRPr="0055317D" w:rsidRDefault="0055317D" w:rsidP="00101AF1">
      <w:pPr>
        <w:pStyle w:val="Paragrafoelenco"/>
        <w:numPr>
          <w:ilvl w:val="0"/>
          <w:numId w:val="28"/>
        </w:numPr>
        <w:ind w:left="284" w:hanging="284"/>
        <w:contextualSpacing w:val="0"/>
        <w:rPr>
          <w:rFonts w:ascii="Titillium" w:hAnsi="Titillium"/>
          <w:sz w:val="20"/>
          <w:szCs w:val="20"/>
        </w:rPr>
      </w:pPr>
      <w:r w:rsidRPr="0055317D">
        <w:rPr>
          <w:rFonts w:ascii="Titillium" w:hAnsi="Titillium"/>
          <w:sz w:val="20"/>
          <w:szCs w:val="20"/>
        </w:rPr>
        <w:t>animatore e animatrice per la gioventù</w:t>
      </w:r>
      <w:r w:rsidR="00101AF1">
        <w:rPr>
          <w:rFonts w:ascii="Titillium" w:hAnsi="Titillium"/>
          <w:sz w:val="20"/>
          <w:szCs w:val="20"/>
        </w:rPr>
        <w:t>,</w:t>
      </w:r>
    </w:p>
    <w:p w14:paraId="0D3CC57C" w14:textId="6C046961" w:rsidR="0055317D" w:rsidRPr="0055317D" w:rsidRDefault="0055317D" w:rsidP="00101AF1">
      <w:pPr>
        <w:pStyle w:val="Paragrafoelenco"/>
        <w:numPr>
          <w:ilvl w:val="0"/>
          <w:numId w:val="28"/>
        </w:numPr>
        <w:ind w:left="284" w:hanging="284"/>
        <w:contextualSpacing w:val="0"/>
        <w:rPr>
          <w:rFonts w:ascii="Titillium" w:hAnsi="Titillium"/>
          <w:sz w:val="20"/>
          <w:szCs w:val="20"/>
        </w:rPr>
      </w:pPr>
      <w:r w:rsidRPr="0055317D">
        <w:rPr>
          <w:rFonts w:ascii="Titillium" w:hAnsi="Titillium"/>
          <w:sz w:val="20"/>
          <w:szCs w:val="20"/>
        </w:rPr>
        <w:t>formatore e formatrice per la gioventù</w:t>
      </w:r>
      <w:r w:rsidR="00101AF1">
        <w:rPr>
          <w:rFonts w:ascii="Titillium" w:hAnsi="Titillium"/>
          <w:sz w:val="20"/>
          <w:szCs w:val="20"/>
        </w:rPr>
        <w:t>,</w:t>
      </w:r>
    </w:p>
    <w:p w14:paraId="6F70E3B6" w14:textId="004B9CB0" w:rsidR="0055317D" w:rsidRPr="0055317D" w:rsidRDefault="0055317D" w:rsidP="00101AF1">
      <w:pPr>
        <w:pStyle w:val="Paragrafoelenco"/>
        <w:numPr>
          <w:ilvl w:val="0"/>
          <w:numId w:val="28"/>
        </w:numPr>
        <w:ind w:left="284" w:hanging="284"/>
        <w:contextualSpacing w:val="0"/>
        <w:rPr>
          <w:rFonts w:ascii="Titillium" w:hAnsi="Titillium"/>
          <w:sz w:val="20"/>
          <w:szCs w:val="20"/>
        </w:rPr>
      </w:pPr>
      <w:r w:rsidRPr="0055317D">
        <w:rPr>
          <w:rFonts w:ascii="Titillium" w:hAnsi="Titillium"/>
          <w:sz w:val="20"/>
          <w:szCs w:val="20"/>
        </w:rPr>
        <w:t xml:space="preserve">animatore e animatrice </w:t>
      </w:r>
      <w:proofErr w:type="gramStart"/>
      <w:r w:rsidR="00101AF1">
        <w:rPr>
          <w:rFonts w:ascii="Titillium" w:hAnsi="Titillium"/>
          <w:sz w:val="20"/>
          <w:szCs w:val="20"/>
        </w:rPr>
        <w:t>s</w:t>
      </w:r>
      <w:r w:rsidRPr="0055317D">
        <w:rPr>
          <w:rFonts w:ascii="Titillium" w:hAnsi="Titillium"/>
          <w:sz w:val="20"/>
          <w:szCs w:val="20"/>
        </w:rPr>
        <w:t>ocio-</w:t>
      </w:r>
      <w:r w:rsidR="00101AF1">
        <w:rPr>
          <w:rFonts w:ascii="Titillium" w:hAnsi="Titillium"/>
          <w:sz w:val="20"/>
          <w:szCs w:val="20"/>
        </w:rPr>
        <w:t>e</w:t>
      </w:r>
      <w:r w:rsidRPr="0055317D">
        <w:rPr>
          <w:rFonts w:ascii="Titillium" w:hAnsi="Titillium"/>
          <w:sz w:val="20"/>
          <w:szCs w:val="20"/>
        </w:rPr>
        <w:t>ducativo</w:t>
      </w:r>
      <w:proofErr w:type="gramEnd"/>
      <w:r w:rsidR="00101AF1">
        <w:rPr>
          <w:rFonts w:ascii="Titillium" w:hAnsi="Titillium"/>
          <w:sz w:val="20"/>
          <w:szCs w:val="20"/>
        </w:rPr>
        <w:t>.</w:t>
      </w:r>
    </w:p>
    <w:p w14:paraId="7F548688" w14:textId="342FEC3C" w:rsidR="0055317D" w:rsidRPr="0055317D" w:rsidRDefault="0055317D" w:rsidP="0055317D">
      <w:pPr>
        <w:rPr>
          <w:rFonts w:ascii="Titillium" w:hAnsi="Titillium"/>
          <w:sz w:val="20"/>
          <w:szCs w:val="20"/>
        </w:rPr>
      </w:pPr>
      <w:r w:rsidRPr="0055317D">
        <w:rPr>
          <w:rFonts w:ascii="Titillium" w:hAnsi="Titillium"/>
          <w:sz w:val="20"/>
          <w:szCs w:val="20"/>
        </w:rPr>
        <w:t>L’attestazione ha valore fino al 31 dicembre di ogni anno, qualunque sia il momento</w:t>
      </w:r>
      <w:r w:rsidR="00101AF1">
        <w:rPr>
          <w:rFonts w:ascii="Titillium" w:hAnsi="Titillium"/>
          <w:sz w:val="20"/>
          <w:szCs w:val="20"/>
        </w:rPr>
        <w:t xml:space="preserve"> </w:t>
      </w:r>
      <w:r w:rsidRPr="0055317D">
        <w:rPr>
          <w:rFonts w:ascii="Titillium" w:hAnsi="Titillium"/>
          <w:sz w:val="20"/>
          <w:szCs w:val="20"/>
        </w:rPr>
        <w:t>in cui viene richiesta.</w:t>
      </w:r>
    </w:p>
    <w:p w14:paraId="68BA0D0F" w14:textId="77777777" w:rsidR="0055317D" w:rsidRPr="0055317D" w:rsidRDefault="0055317D" w:rsidP="0055317D">
      <w:pPr>
        <w:rPr>
          <w:rFonts w:ascii="Titillium" w:hAnsi="Titillium"/>
          <w:sz w:val="20"/>
          <w:szCs w:val="20"/>
        </w:rPr>
      </w:pPr>
    </w:p>
    <w:p w14:paraId="4493E9D1" w14:textId="1CF1FBE0" w:rsidR="0055317D" w:rsidRPr="00101AF1" w:rsidRDefault="0055317D" w:rsidP="0055317D">
      <w:pPr>
        <w:rPr>
          <w:rFonts w:ascii="Titillium" w:hAnsi="Titillium"/>
          <w:b/>
          <w:bCs/>
          <w:sz w:val="20"/>
          <w:szCs w:val="20"/>
        </w:rPr>
      </w:pPr>
      <w:r w:rsidRPr="00101AF1">
        <w:rPr>
          <w:rFonts w:ascii="Titillium" w:hAnsi="Titillium"/>
          <w:b/>
          <w:bCs/>
          <w:sz w:val="20"/>
          <w:szCs w:val="20"/>
        </w:rPr>
        <w:t>Articolo 3</w:t>
      </w:r>
    </w:p>
    <w:p w14:paraId="69B92CA4" w14:textId="77777777" w:rsidR="0055317D" w:rsidRPr="00101AF1" w:rsidRDefault="0055317D" w:rsidP="0055317D">
      <w:pPr>
        <w:rPr>
          <w:rFonts w:ascii="Titillium" w:hAnsi="Titillium"/>
          <w:b/>
          <w:bCs/>
          <w:color w:val="0070C0"/>
          <w:sz w:val="20"/>
          <w:szCs w:val="20"/>
        </w:rPr>
      </w:pPr>
      <w:r w:rsidRPr="00101AF1">
        <w:rPr>
          <w:rFonts w:ascii="Titillium" w:hAnsi="Titillium"/>
          <w:b/>
          <w:bCs/>
          <w:color w:val="0070C0"/>
          <w:sz w:val="20"/>
          <w:szCs w:val="20"/>
        </w:rPr>
        <w:t>Requisiti di accesso alla certificazione per soci professionisti</w:t>
      </w:r>
    </w:p>
    <w:p w14:paraId="1629CCDA" w14:textId="6D84F184" w:rsidR="0055317D" w:rsidRPr="0055317D" w:rsidRDefault="0055317D" w:rsidP="0055317D">
      <w:pPr>
        <w:rPr>
          <w:rFonts w:ascii="Titillium" w:hAnsi="Titillium"/>
          <w:sz w:val="20"/>
          <w:szCs w:val="20"/>
        </w:rPr>
      </w:pPr>
      <w:r w:rsidRPr="0055317D">
        <w:rPr>
          <w:rFonts w:ascii="Titillium" w:hAnsi="Titillium"/>
          <w:sz w:val="20"/>
          <w:szCs w:val="20"/>
        </w:rPr>
        <w:t xml:space="preserve">Possono ottenere l’attestato di qualità dei servizi tutti coloro che fanno parte dell’associazione e che, al momento della richiesta, siano in </w:t>
      </w:r>
      <w:r w:rsidR="0031511B">
        <w:rPr>
          <w:rFonts w:ascii="Titillium" w:hAnsi="Titillium"/>
          <w:sz w:val="20"/>
          <w:szCs w:val="20"/>
        </w:rPr>
        <w:t xml:space="preserve">regola con il versamento della quota di iscrizione dell’anno in corso e siano in </w:t>
      </w:r>
      <w:r w:rsidRPr="0055317D">
        <w:rPr>
          <w:rFonts w:ascii="Titillium" w:hAnsi="Titillium"/>
          <w:sz w:val="20"/>
          <w:szCs w:val="20"/>
        </w:rPr>
        <w:t>possesso dei seguenti requisiti:</w:t>
      </w:r>
    </w:p>
    <w:p w14:paraId="5E072E58" w14:textId="51BC962C" w:rsidR="00583822" w:rsidRPr="00583822" w:rsidRDefault="0055317D" w:rsidP="00583822">
      <w:pPr>
        <w:pStyle w:val="Paragrafoelenco"/>
        <w:numPr>
          <w:ilvl w:val="0"/>
          <w:numId w:val="34"/>
        </w:numPr>
        <w:ind w:left="142"/>
        <w:rPr>
          <w:rFonts w:ascii="Titillium" w:hAnsi="Titillium"/>
          <w:sz w:val="20"/>
          <w:szCs w:val="20"/>
        </w:rPr>
      </w:pPr>
      <w:r w:rsidRPr="00583822">
        <w:rPr>
          <w:rFonts w:ascii="Titillium" w:hAnsi="Titillium"/>
          <w:sz w:val="20"/>
          <w:szCs w:val="20"/>
        </w:rPr>
        <w:t xml:space="preserve">nel caso di prima iscrizione, aver </w:t>
      </w:r>
      <w:r w:rsidR="00101AF1" w:rsidRPr="00583822">
        <w:rPr>
          <w:rFonts w:ascii="Titillium" w:hAnsi="Titillium"/>
          <w:sz w:val="20"/>
          <w:szCs w:val="20"/>
        </w:rPr>
        <w:t xml:space="preserve">raggiunto </w:t>
      </w:r>
      <w:r w:rsidRPr="00583822">
        <w:rPr>
          <w:rFonts w:ascii="Titillium" w:hAnsi="Titillium"/>
          <w:sz w:val="20"/>
          <w:szCs w:val="20"/>
        </w:rPr>
        <w:t xml:space="preserve">almeno 110 punti nella griglia </w:t>
      </w:r>
      <w:r w:rsidR="00101AF1" w:rsidRPr="00583822">
        <w:rPr>
          <w:rFonts w:ascii="Titillium" w:hAnsi="Titillium"/>
          <w:sz w:val="20"/>
          <w:szCs w:val="20"/>
        </w:rPr>
        <w:t xml:space="preserve">di </w:t>
      </w:r>
      <w:r w:rsidR="00583822">
        <w:rPr>
          <w:rFonts w:ascii="Titillium" w:hAnsi="Titillium"/>
          <w:sz w:val="20"/>
          <w:szCs w:val="20"/>
        </w:rPr>
        <w:t>autovalutazione</w:t>
      </w:r>
      <w:r w:rsidRPr="00583822">
        <w:rPr>
          <w:rFonts w:ascii="Titillium" w:hAnsi="Titillium"/>
          <w:sz w:val="20"/>
          <w:szCs w:val="20"/>
        </w:rPr>
        <w:t xml:space="preserve"> inviata al momento della richiesta</w:t>
      </w:r>
      <w:r w:rsidR="00583822" w:rsidRPr="00583822">
        <w:rPr>
          <w:rFonts w:ascii="Titillium" w:hAnsi="Titillium"/>
          <w:sz w:val="20"/>
          <w:szCs w:val="20"/>
        </w:rPr>
        <w:t xml:space="preserve"> mediante l’invio di idonea documentazione che attesti sia l’esperienza lavorativa sia quella formativa.</w:t>
      </w:r>
    </w:p>
    <w:p w14:paraId="3D033A31" w14:textId="598FE5E0" w:rsidR="0055317D" w:rsidRPr="00583822" w:rsidRDefault="00583822" w:rsidP="00B50ECC">
      <w:pPr>
        <w:pStyle w:val="Paragrafoelenco"/>
        <w:numPr>
          <w:ilvl w:val="0"/>
          <w:numId w:val="31"/>
        </w:numPr>
        <w:ind w:left="170" w:hanging="170"/>
        <w:rPr>
          <w:rFonts w:ascii="Titillium" w:hAnsi="Titillium"/>
          <w:sz w:val="20"/>
          <w:szCs w:val="20"/>
        </w:rPr>
      </w:pPr>
      <w:r w:rsidRPr="00583822">
        <w:rPr>
          <w:rFonts w:ascii="Titillium" w:hAnsi="Titillium"/>
          <w:sz w:val="20"/>
          <w:szCs w:val="20"/>
        </w:rPr>
        <w:t>Per gli anni successivi al primo</w:t>
      </w:r>
      <w:r w:rsidR="0055317D" w:rsidRPr="00583822">
        <w:rPr>
          <w:rFonts w:ascii="Titillium" w:hAnsi="Titillium"/>
          <w:sz w:val="20"/>
          <w:szCs w:val="20"/>
        </w:rPr>
        <w:t xml:space="preserve">, avere partecipato ad attività di </w:t>
      </w:r>
      <w:r w:rsidR="00B50ECC" w:rsidRPr="00583822">
        <w:rPr>
          <w:rFonts w:ascii="Titillium" w:hAnsi="Titillium"/>
          <w:sz w:val="20"/>
          <w:szCs w:val="20"/>
        </w:rPr>
        <w:t xml:space="preserve">aggiornamento professionale </w:t>
      </w:r>
      <w:r w:rsidR="0055317D" w:rsidRPr="00583822">
        <w:rPr>
          <w:rFonts w:ascii="Titillium" w:hAnsi="Titillium"/>
          <w:sz w:val="20"/>
          <w:szCs w:val="20"/>
        </w:rPr>
        <w:t xml:space="preserve">inerente ogni </w:t>
      </w:r>
      <w:r w:rsidR="00277D6F" w:rsidRPr="00583822">
        <w:rPr>
          <w:rFonts w:ascii="Titillium" w:hAnsi="Titillium"/>
          <w:sz w:val="20"/>
          <w:szCs w:val="20"/>
        </w:rPr>
        <w:t xml:space="preserve">specifico </w:t>
      </w:r>
      <w:r w:rsidR="0055317D" w:rsidRPr="00583822">
        <w:rPr>
          <w:rFonts w:ascii="Titillium" w:hAnsi="Titillium"/>
          <w:sz w:val="20"/>
          <w:szCs w:val="20"/>
        </w:rPr>
        <w:t xml:space="preserve">profilo </w:t>
      </w:r>
      <w:r w:rsidR="00277D6F" w:rsidRPr="00583822">
        <w:rPr>
          <w:rFonts w:ascii="Titillium" w:hAnsi="Titillium"/>
          <w:sz w:val="20"/>
          <w:szCs w:val="20"/>
        </w:rPr>
        <w:t xml:space="preserve">professionale </w:t>
      </w:r>
      <w:r w:rsidR="0055317D" w:rsidRPr="00583822">
        <w:rPr>
          <w:rFonts w:ascii="Titillium" w:hAnsi="Titillium"/>
          <w:sz w:val="20"/>
          <w:szCs w:val="20"/>
        </w:rPr>
        <w:t>per cui si fa richiesta per almeno 24 crediti nell’anno precedente la richiesta di attestazione, da dimostrare attraverso</w:t>
      </w:r>
      <w:r w:rsidRPr="00583822">
        <w:rPr>
          <w:rFonts w:ascii="Titillium" w:hAnsi="Titillium"/>
          <w:sz w:val="20"/>
          <w:szCs w:val="20"/>
        </w:rPr>
        <w:t xml:space="preserve">. </w:t>
      </w:r>
      <w:r w:rsidR="0055317D" w:rsidRPr="00583822">
        <w:rPr>
          <w:rFonts w:ascii="Titillium" w:hAnsi="Titillium"/>
          <w:sz w:val="20"/>
          <w:szCs w:val="20"/>
        </w:rPr>
        <w:t>titoli accademici valutati dalla Commissione</w:t>
      </w:r>
      <w:r w:rsidR="00277D6F" w:rsidRPr="00583822">
        <w:rPr>
          <w:rFonts w:ascii="Titillium" w:hAnsi="Titillium"/>
          <w:sz w:val="20"/>
          <w:szCs w:val="20"/>
        </w:rPr>
        <w:t xml:space="preserve"> </w:t>
      </w:r>
      <w:r w:rsidRPr="00583822">
        <w:rPr>
          <w:rFonts w:ascii="Titillium" w:hAnsi="Titillium"/>
          <w:sz w:val="20"/>
          <w:szCs w:val="20"/>
        </w:rPr>
        <w:t>Scientifica</w:t>
      </w:r>
      <w:r w:rsidR="0055317D" w:rsidRPr="00583822">
        <w:rPr>
          <w:rFonts w:ascii="Titillium" w:hAnsi="Titillium"/>
          <w:sz w:val="20"/>
          <w:szCs w:val="20"/>
        </w:rPr>
        <w:t xml:space="preserve"> e validati dal Consiglio </w:t>
      </w:r>
      <w:r w:rsidR="000F5E8B" w:rsidRPr="00583822">
        <w:rPr>
          <w:rFonts w:ascii="Titillium" w:hAnsi="Titillium"/>
          <w:sz w:val="20"/>
          <w:szCs w:val="20"/>
        </w:rPr>
        <w:t>Direttivo</w:t>
      </w:r>
      <w:r w:rsidRPr="00583822">
        <w:rPr>
          <w:rFonts w:ascii="Titillium" w:hAnsi="Titillium"/>
          <w:sz w:val="20"/>
          <w:szCs w:val="20"/>
        </w:rPr>
        <w:t xml:space="preserve">, </w:t>
      </w:r>
      <w:r w:rsidR="0055317D" w:rsidRPr="00583822">
        <w:rPr>
          <w:rFonts w:ascii="Titillium" w:hAnsi="Titillium"/>
          <w:sz w:val="20"/>
          <w:szCs w:val="20"/>
        </w:rPr>
        <w:t>corsi di formazione</w:t>
      </w:r>
      <w:r w:rsidRPr="00583822">
        <w:rPr>
          <w:rFonts w:ascii="Titillium" w:hAnsi="Titillium"/>
          <w:sz w:val="20"/>
          <w:szCs w:val="20"/>
        </w:rPr>
        <w:t>,</w:t>
      </w:r>
      <w:r>
        <w:rPr>
          <w:rFonts w:ascii="Titillium" w:hAnsi="Titillium"/>
          <w:sz w:val="20"/>
          <w:szCs w:val="20"/>
        </w:rPr>
        <w:t xml:space="preserve"> </w:t>
      </w:r>
      <w:r w:rsidR="0055317D" w:rsidRPr="00583822">
        <w:rPr>
          <w:rFonts w:ascii="Titillium" w:hAnsi="Titillium"/>
          <w:sz w:val="20"/>
          <w:szCs w:val="20"/>
        </w:rPr>
        <w:t>attestati di partecipazione a laboratori, convegni, seminari organizzati dall’associazione</w:t>
      </w:r>
      <w:r w:rsidR="00277D6F" w:rsidRPr="00583822">
        <w:rPr>
          <w:rFonts w:ascii="Titillium" w:hAnsi="Titillium"/>
          <w:sz w:val="20"/>
          <w:szCs w:val="20"/>
        </w:rPr>
        <w:t>.</w:t>
      </w:r>
    </w:p>
    <w:p w14:paraId="2D629ADE" w14:textId="77777777" w:rsidR="00277D6F" w:rsidRPr="00B50ECC" w:rsidRDefault="0055317D" w:rsidP="00B50ECC">
      <w:pPr>
        <w:pStyle w:val="Paragrafoelenco"/>
        <w:numPr>
          <w:ilvl w:val="0"/>
          <w:numId w:val="31"/>
        </w:numPr>
        <w:ind w:left="170" w:hanging="170"/>
        <w:rPr>
          <w:rFonts w:ascii="Titillium" w:hAnsi="Titillium"/>
          <w:sz w:val="20"/>
          <w:szCs w:val="20"/>
        </w:rPr>
      </w:pPr>
      <w:r w:rsidRPr="00B50ECC">
        <w:rPr>
          <w:rFonts w:ascii="Titillium" w:hAnsi="Titillium"/>
          <w:sz w:val="20"/>
          <w:szCs w:val="20"/>
        </w:rPr>
        <w:t xml:space="preserve">I crediti sono assegnati nel rapporto di un credito </w:t>
      </w:r>
      <w:r w:rsidR="00277D6F" w:rsidRPr="00B50ECC">
        <w:rPr>
          <w:rFonts w:ascii="Titillium" w:hAnsi="Titillium"/>
          <w:sz w:val="20"/>
          <w:szCs w:val="20"/>
        </w:rPr>
        <w:t xml:space="preserve">per </w:t>
      </w:r>
      <w:r w:rsidRPr="00B50ECC">
        <w:rPr>
          <w:rFonts w:ascii="Titillium" w:hAnsi="Titillium"/>
          <w:sz w:val="20"/>
          <w:szCs w:val="20"/>
        </w:rPr>
        <w:t>ogni ora di formazione</w:t>
      </w:r>
      <w:r w:rsidR="00277D6F" w:rsidRPr="00B50ECC">
        <w:rPr>
          <w:rFonts w:ascii="Titillium" w:hAnsi="Titillium"/>
          <w:sz w:val="20"/>
          <w:szCs w:val="20"/>
        </w:rPr>
        <w:t xml:space="preserve"> certificata</w:t>
      </w:r>
      <w:r w:rsidRPr="00B50ECC">
        <w:rPr>
          <w:rFonts w:ascii="Titillium" w:hAnsi="Titillium"/>
          <w:sz w:val="20"/>
          <w:szCs w:val="20"/>
        </w:rPr>
        <w:t>.</w:t>
      </w:r>
    </w:p>
    <w:p w14:paraId="3FDC3A59" w14:textId="2BB3D798" w:rsidR="0055317D" w:rsidRPr="0055317D" w:rsidRDefault="00277D6F" w:rsidP="0055317D">
      <w:pPr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Nel caso di</w:t>
      </w:r>
      <w:r w:rsidR="0055317D" w:rsidRPr="0055317D">
        <w:rPr>
          <w:rFonts w:ascii="Titillium" w:hAnsi="Titillium"/>
          <w:sz w:val="20"/>
          <w:szCs w:val="20"/>
        </w:rPr>
        <w:t xml:space="preserve"> </w:t>
      </w:r>
      <w:r>
        <w:rPr>
          <w:rFonts w:ascii="Titillium" w:hAnsi="Titillium"/>
          <w:sz w:val="20"/>
          <w:szCs w:val="20"/>
        </w:rPr>
        <w:t>c</w:t>
      </w:r>
      <w:r w:rsidR="0055317D" w:rsidRPr="0055317D">
        <w:rPr>
          <w:rFonts w:ascii="Titillium" w:hAnsi="Titillium"/>
          <w:sz w:val="20"/>
          <w:szCs w:val="20"/>
        </w:rPr>
        <w:t xml:space="preserve">onvegni </w:t>
      </w:r>
      <w:r>
        <w:rPr>
          <w:rFonts w:ascii="Titillium" w:hAnsi="Titillium"/>
          <w:sz w:val="20"/>
          <w:szCs w:val="20"/>
        </w:rPr>
        <w:t>sara</w:t>
      </w:r>
      <w:r w:rsidR="0055317D" w:rsidRPr="0055317D">
        <w:rPr>
          <w:rFonts w:ascii="Titillium" w:hAnsi="Titillium"/>
          <w:sz w:val="20"/>
          <w:szCs w:val="20"/>
        </w:rPr>
        <w:t xml:space="preserve">nno </w:t>
      </w:r>
      <w:r>
        <w:rPr>
          <w:rFonts w:ascii="Titillium" w:hAnsi="Titillium"/>
          <w:sz w:val="20"/>
          <w:szCs w:val="20"/>
        </w:rPr>
        <w:t>accredit</w:t>
      </w:r>
      <w:r w:rsidR="0055317D" w:rsidRPr="0055317D">
        <w:rPr>
          <w:rFonts w:ascii="Titillium" w:hAnsi="Titillium"/>
          <w:sz w:val="20"/>
          <w:szCs w:val="20"/>
        </w:rPr>
        <w:t xml:space="preserve">ati </w:t>
      </w:r>
      <w:r>
        <w:rPr>
          <w:rFonts w:ascii="Titillium" w:hAnsi="Titillium"/>
          <w:sz w:val="20"/>
          <w:szCs w:val="20"/>
        </w:rPr>
        <w:t xml:space="preserve">un </w:t>
      </w:r>
      <w:r w:rsidR="0055317D" w:rsidRPr="0055317D">
        <w:rPr>
          <w:rFonts w:ascii="Titillium" w:hAnsi="Titillium"/>
          <w:sz w:val="20"/>
          <w:szCs w:val="20"/>
        </w:rPr>
        <w:t xml:space="preserve">massimo </w:t>
      </w:r>
      <w:r>
        <w:rPr>
          <w:rFonts w:ascii="Titillium" w:hAnsi="Titillium"/>
          <w:sz w:val="20"/>
          <w:szCs w:val="20"/>
        </w:rPr>
        <w:t xml:space="preserve">di </w:t>
      </w:r>
      <w:proofErr w:type="gramStart"/>
      <w:r w:rsidR="0055317D" w:rsidRPr="0055317D">
        <w:rPr>
          <w:rFonts w:ascii="Titillium" w:hAnsi="Titillium"/>
          <w:sz w:val="20"/>
          <w:szCs w:val="20"/>
        </w:rPr>
        <w:t>6</w:t>
      </w:r>
      <w:proofErr w:type="gramEnd"/>
      <w:r w:rsidR="0055317D" w:rsidRPr="0055317D">
        <w:rPr>
          <w:rFonts w:ascii="Titillium" w:hAnsi="Titillium"/>
          <w:sz w:val="20"/>
          <w:szCs w:val="20"/>
        </w:rPr>
        <w:t xml:space="preserve"> crediti per </w:t>
      </w:r>
      <w:r>
        <w:rPr>
          <w:rFonts w:ascii="Titillium" w:hAnsi="Titillium"/>
          <w:sz w:val="20"/>
          <w:szCs w:val="20"/>
        </w:rPr>
        <w:t>un</w:t>
      </w:r>
      <w:r w:rsidR="0055317D" w:rsidRPr="0055317D">
        <w:rPr>
          <w:rFonts w:ascii="Titillium" w:hAnsi="Titillium"/>
          <w:sz w:val="20"/>
          <w:szCs w:val="20"/>
        </w:rPr>
        <w:t xml:space="preserve">a </w:t>
      </w:r>
      <w:r w:rsidRPr="0055317D">
        <w:rPr>
          <w:rFonts w:ascii="Titillium" w:hAnsi="Titillium"/>
          <w:sz w:val="20"/>
          <w:szCs w:val="20"/>
        </w:rPr>
        <w:t xml:space="preserve">intera </w:t>
      </w:r>
      <w:r w:rsidR="0055317D" w:rsidRPr="0055317D">
        <w:rPr>
          <w:rFonts w:ascii="Titillium" w:hAnsi="Titillium"/>
          <w:sz w:val="20"/>
          <w:szCs w:val="20"/>
        </w:rPr>
        <w:t>giornata</w:t>
      </w:r>
      <w:r>
        <w:rPr>
          <w:rFonts w:ascii="Titillium" w:hAnsi="Titillium"/>
          <w:sz w:val="20"/>
          <w:szCs w:val="20"/>
        </w:rPr>
        <w:t xml:space="preserve"> di lavori</w:t>
      </w:r>
      <w:r w:rsidR="0055317D" w:rsidRPr="0055317D">
        <w:rPr>
          <w:rFonts w:ascii="Titillium" w:hAnsi="Titillium"/>
          <w:sz w:val="20"/>
          <w:szCs w:val="20"/>
        </w:rPr>
        <w:t>.</w:t>
      </w:r>
    </w:p>
    <w:p w14:paraId="7EB74C48" w14:textId="77777777" w:rsidR="0055317D" w:rsidRPr="0055317D" w:rsidRDefault="0055317D" w:rsidP="0055317D">
      <w:pPr>
        <w:rPr>
          <w:rFonts w:ascii="Titillium" w:hAnsi="Titillium"/>
          <w:sz w:val="20"/>
          <w:szCs w:val="20"/>
        </w:rPr>
      </w:pPr>
    </w:p>
    <w:p w14:paraId="58F67232" w14:textId="1D33C9E0" w:rsidR="0055317D" w:rsidRPr="00BF0E20" w:rsidRDefault="0055317D" w:rsidP="0055317D">
      <w:pPr>
        <w:rPr>
          <w:rFonts w:ascii="Titillium" w:hAnsi="Titillium"/>
          <w:b/>
          <w:bCs/>
          <w:sz w:val="20"/>
          <w:szCs w:val="20"/>
        </w:rPr>
      </w:pPr>
      <w:r w:rsidRPr="00BF0E20">
        <w:rPr>
          <w:rFonts w:ascii="Titillium" w:hAnsi="Titillium"/>
          <w:b/>
          <w:bCs/>
          <w:sz w:val="20"/>
          <w:szCs w:val="20"/>
        </w:rPr>
        <w:t>Articolo 4</w:t>
      </w:r>
    </w:p>
    <w:p w14:paraId="52F911B4" w14:textId="77777777" w:rsidR="0055317D" w:rsidRPr="00BF0E20" w:rsidRDefault="0055317D" w:rsidP="0055317D">
      <w:pPr>
        <w:rPr>
          <w:rFonts w:ascii="Titillium" w:hAnsi="Titillium"/>
          <w:b/>
          <w:bCs/>
          <w:color w:val="0070C0"/>
          <w:sz w:val="20"/>
          <w:szCs w:val="20"/>
        </w:rPr>
      </w:pPr>
      <w:r w:rsidRPr="00BF0E20">
        <w:rPr>
          <w:rFonts w:ascii="Titillium" w:hAnsi="Titillium"/>
          <w:b/>
          <w:bCs/>
          <w:color w:val="0070C0"/>
          <w:sz w:val="20"/>
          <w:szCs w:val="20"/>
        </w:rPr>
        <w:t>Diritti e doveri dei soci titolari di attestazione di qualità dei servizi</w:t>
      </w:r>
    </w:p>
    <w:p w14:paraId="18BE2BC7" w14:textId="48B89BB3" w:rsidR="0055317D" w:rsidRPr="0055317D" w:rsidRDefault="0055317D" w:rsidP="0055317D">
      <w:pPr>
        <w:rPr>
          <w:rFonts w:ascii="Titillium" w:hAnsi="Titillium"/>
          <w:sz w:val="20"/>
          <w:szCs w:val="20"/>
        </w:rPr>
      </w:pPr>
      <w:r w:rsidRPr="0055317D">
        <w:rPr>
          <w:rFonts w:ascii="Titillium" w:hAnsi="Titillium"/>
          <w:sz w:val="20"/>
          <w:szCs w:val="20"/>
        </w:rPr>
        <w:t xml:space="preserve">In aggiunta alle norme statutarie previste per mantenere lo status di soggetto </w:t>
      </w:r>
      <w:r w:rsidR="00BF0E20">
        <w:rPr>
          <w:rFonts w:ascii="Titillium" w:hAnsi="Titillium"/>
          <w:sz w:val="20"/>
          <w:szCs w:val="20"/>
        </w:rPr>
        <w:t>membro</w:t>
      </w:r>
      <w:r w:rsidRPr="0055317D">
        <w:rPr>
          <w:rFonts w:ascii="Titillium" w:hAnsi="Titillium"/>
          <w:sz w:val="20"/>
          <w:szCs w:val="20"/>
        </w:rPr>
        <w:t xml:space="preserve"> dell’</w:t>
      </w:r>
      <w:r w:rsidR="00BF0E20">
        <w:rPr>
          <w:rFonts w:ascii="Titillium" w:hAnsi="Titillium"/>
          <w:sz w:val="20"/>
          <w:szCs w:val="20"/>
        </w:rPr>
        <w:t>A</w:t>
      </w:r>
      <w:r w:rsidRPr="0055317D">
        <w:rPr>
          <w:rFonts w:ascii="Titillium" w:hAnsi="Titillium"/>
          <w:sz w:val="20"/>
          <w:szCs w:val="20"/>
        </w:rPr>
        <w:t>ssociazione, il/la professionista con attestazione di qualità è tenuto:</w:t>
      </w:r>
    </w:p>
    <w:p w14:paraId="52A236FA" w14:textId="34306945" w:rsidR="0055317D" w:rsidRPr="0055317D" w:rsidRDefault="0055317D" w:rsidP="00BF0E20">
      <w:pPr>
        <w:pStyle w:val="Paragrafoelenco"/>
        <w:numPr>
          <w:ilvl w:val="0"/>
          <w:numId w:val="28"/>
        </w:numPr>
        <w:ind w:left="284" w:hanging="284"/>
        <w:contextualSpacing w:val="0"/>
        <w:rPr>
          <w:rFonts w:ascii="Titillium" w:hAnsi="Titillium"/>
          <w:sz w:val="20"/>
          <w:szCs w:val="20"/>
        </w:rPr>
      </w:pPr>
      <w:r w:rsidRPr="0055317D">
        <w:rPr>
          <w:rFonts w:ascii="Titillium" w:hAnsi="Titillium"/>
          <w:sz w:val="20"/>
          <w:szCs w:val="20"/>
        </w:rPr>
        <w:t xml:space="preserve">a </w:t>
      </w:r>
      <w:r w:rsidR="00BF0E20">
        <w:rPr>
          <w:rFonts w:ascii="Titillium" w:hAnsi="Titillium"/>
          <w:sz w:val="20"/>
          <w:szCs w:val="20"/>
        </w:rPr>
        <w:t xml:space="preserve">seguire le attività di formazione e </w:t>
      </w:r>
      <w:r w:rsidRPr="0055317D">
        <w:rPr>
          <w:rFonts w:ascii="Titillium" w:hAnsi="Titillium"/>
          <w:sz w:val="20"/>
          <w:szCs w:val="20"/>
        </w:rPr>
        <w:t>aggiornamento</w:t>
      </w:r>
      <w:r w:rsidR="008274EE">
        <w:rPr>
          <w:rFonts w:ascii="Titillium" w:hAnsi="Titillium"/>
          <w:sz w:val="20"/>
          <w:szCs w:val="20"/>
        </w:rPr>
        <w:t xml:space="preserve"> professionale</w:t>
      </w:r>
      <w:r w:rsidRPr="0055317D">
        <w:rPr>
          <w:rFonts w:ascii="Titillium" w:hAnsi="Titillium"/>
          <w:sz w:val="20"/>
          <w:szCs w:val="20"/>
        </w:rPr>
        <w:t xml:space="preserve"> secondo</w:t>
      </w:r>
      <w:r w:rsidR="00BF0E20">
        <w:rPr>
          <w:rFonts w:ascii="Titillium" w:hAnsi="Titillium"/>
          <w:sz w:val="20"/>
          <w:szCs w:val="20"/>
        </w:rPr>
        <w:t xml:space="preserve"> quanto previsto dal</w:t>
      </w:r>
      <w:r w:rsidRPr="0055317D">
        <w:rPr>
          <w:rFonts w:ascii="Titillium" w:hAnsi="Titillium"/>
          <w:sz w:val="20"/>
          <w:szCs w:val="20"/>
        </w:rPr>
        <w:t xml:space="preserve">le prescrizioni minime del presente </w:t>
      </w:r>
      <w:r w:rsidR="00101AF1">
        <w:rPr>
          <w:rFonts w:ascii="Titillium" w:hAnsi="Titillium"/>
          <w:sz w:val="20"/>
          <w:szCs w:val="20"/>
        </w:rPr>
        <w:t>Regolamento</w:t>
      </w:r>
      <w:r w:rsidRPr="0055317D">
        <w:rPr>
          <w:rFonts w:ascii="Titillium" w:hAnsi="Titillium"/>
          <w:sz w:val="20"/>
          <w:szCs w:val="20"/>
        </w:rPr>
        <w:t>;</w:t>
      </w:r>
    </w:p>
    <w:p w14:paraId="3423EBD0" w14:textId="328AE547" w:rsidR="0055317D" w:rsidRPr="0055317D" w:rsidRDefault="0055317D" w:rsidP="00BF0E20">
      <w:pPr>
        <w:pStyle w:val="Paragrafoelenco"/>
        <w:numPr>
          <w:ilvl w:val="0"/>
          <w:numId w:val="28"/>
        </w:numPr>
        <w:ind w:left="284" w:hanging="284"/>
        <w:contextualSpacing w:val="0"/>
        <w:rPr>
          <w:rFonts w:ascii="Titillium" w:hAnsi="Titillium"/>
          <w:sz w:val="20"/>
          <w:szCs w:val="20"/>
        </w:rPr>
      </w:pPr>
      <w:r w:rsidRPr="0055317D">
        <w:rPr>
          <w:rFonts w:ascii="Titillium" w:hAnsi="Titillium"/>
          <w:sz w:val="20"/>
          <w:szCs w:val="20"/>
        </w:rPr>
        <w:t>ad operare con correttezza, autonomia e responsabilit</w:t>
      </w:r>
      <w:r w:rsidRPr="00BF0E20">
        <w:rPr>
          <w:rFonts w:ascii="Titillium" w:hAnsi="Titillium"/>
          <w:sz w:val="20"/>
          <w:szCs w:val="20"/>
        </w:rPr>
        <w:t>à</w:t>
      </w:r>
      <w:r w:rsidRPr="0055317D">
        <w:rPr>
          <w:rFonts w:ascii="Titillium" w:hAnsi="Titillium"/>
          <w:sz w:val="20"/>
          <w:szCs w:val="20"/>
        </w:rPr>
        <w:t xml:space="preserve"> deontologica nei confronti dell</w:t>
      </w:r>
      <w:r w:rsidRPr="00BF0E20">
        <w:rPr>
          <w:rFonts w:ascii="Titillium" w:hAnsi="Titillium"/>
          <w:sz w:val="20"/>
          <w:szCs w:val="20"/>
        </w:rPr>
        <w:t>’</w:t>
      </w:r>
      <w:r w:rsidRPr="0055317D">
        <w:rPr>
          <w:rFonts w:ascii="Titillium" w:hAnsi="Titillium"/>
          <w:sz w:val="20"/>
          <w:szCs w:val="20"/>
        </w:rPr>
        <w:t>utenza;</w:t>
      </w:r>
    </w:p>
    <w:p w14:paraId="611A5FFB" w14:textId="03409B34" w:rsidR="0055317D" w:rsidRPr="0055317D" w:rsidRDefault="0055317D" w:rsidP="00BF0E20">
      <w:pPr>
        <w:pStyle w:val="Paragrafoelenco"/>
        <w:numPr>
          <w:ilvl w:val="0"/>
          <w:numId w:val="28"/>
        </w:numPr>
        <w:ind w:left="284" w:hanging="284"/>
        <w:contextualSpacing w:val="0"/>
        <w:rPr>
          <w:rFonts w:ascii="Titillium" w:hAnsi="Titillium"/>
          <w:sz w:val="20"/>
          <w:szCs w:val="20"/>
        </w:rPr>
      </w:pPr>
      <w:r w:rsidRPr="0055317D">
        <w:rPr>
          <w:rFonts w:ascii="Titillium" w:hAnsi="Titillium"/>
          <w:sz w:val="20"/>
          <w:szCs w:val="20"/>
        </w:rPr>
        <w:t>a rispettare le sanzioni comminate in caso di mancato rispetto del codice deontologico.</w:t>
      </w:r>
    </w:p>
    <w:p w14:paraId="4BE0FCB8" w14:textId="77777777" w:rsidR="0055317D" w:rsidRPr="0055317D" w:rsidRDefault="0055317D" w:rsidP="0055317D">
      <w:pPr>
        <w:rPr>
          <w:rFonts w:ascii="Titillium" w:hAnsi="Titillium"/>
          <w:sz w:val="20"/>
          <w:szCs w:val="20"/>
        </w:rPr>
      </w:pPr>
    </w:p>
    <w:p w14:paraId="66941504" w14:textId="19D295D7" w:rsidR="0055317D" w:rsidRPr="00BF0E20" w:rsidRDefault="0055317D" w:rsidP="0055317D">
      <w:pPr>
        <w:rPr>
          <w:rFonts w:ascii="Titillium" w:hAnsi="Titillium"/>
          <w:b/>
          <w:bCs/>
          <w:sz w:val="20"/>
          <w:szCs w:val="20"/>
        </w:rPr>
      </w:pPr>
      <w:r w:rsidRPr="00BF0E20">
        <w:rPr>
          <w:rFonts w:ascii="Titillium" w:hAnsi="Titillium"/>
          <w:b/>
          <w:bCs/>
          <w:sz w:val="20"/>
          <w:szCs w:val="20"/>
        </w:rPr>
        <w:t>Articolo 5</w:t>
      </w:r>
    </w:p>
    <w:p w14:paraId="5BF95864" w14:textId="1220FA1A" w:rsidR="0055317D" w:rsidRPr="00BF0E20" w:rsidRDefault="0055317D" w:rsidP="0055317D">
      <w:pPr>
        <w:rPr>
          <w:rFonts w:ascii="Titillium" w:hAnsi="Titillium"/>
          <w:b/>
          <w:bCs/>
          <w:color w:val="0070C0"/>
          <w:sz w:val="20"/>
          <w:szCs w:val="20"/>
        </w:rPr>
      </w:pPr>
      <w:r w:rsidRPr="00BF0E20">
        <w:rPr>
          <w:rFonts w:ascii="Titillium" w:hAnsi="Titillium"/>
          <w:b/>
          <w:bCs/>
          <w:color w:val="0070C0"/>
          <w:sz w:val="20"/>
          <w:szCs w:val="20"/>
        </w:rPr>
        <w:t>Procedura per l’ottenimento dell’attestato di qualità e di qualificazione</w:t>
      </w:r>
      <w:r w:rsidR="00BF0E20" w:rsidRPr="00BF0E20">
        <w:rPr>
          <w:rFonts w:ascii="Titillium" w:hAnsi="Titillium"/>
          <w:b/>
          <w:bCs/>
          <w:color w:val="0070C0"/>
          <w:sz w:val="20"/>
          <w:szCs w:val="20"/>
        </w:rPr>
        <w:t xml:space="preserve"> </w:t>
      </w:r>
      <w:r w:rsidRPr="00BF0E20">
        <w:rPr>
          <w:rFonts w:ascii="Titillium" w:hAnsi="Titillium"/>
          <w:b/>
          <w:bCs/>
          <w:color w:val="0070C0"/>
          <w:sz w:val="20"/>
          <w:szCs w:val="20"/>
        </w:rPr>
        <w:t>professionale dei servizi prestati dai soci</w:t>
      </w:r>
    </w:p>
    <w:p w14:paraId="4D525DB9" w14:textId="537187EC" w:rsidR="0055317D" w:rsidRPr="001150D1" w:rsidRDefault="0055317D" w:rsidP="001150D1">
      <w:pPr>
        <w:rPr>
          <w:rFonts w:ascii="Titillium" w:hAnsi="Titillium"/>
          <w:sz w:val="20"/>
          <w:szCs w:val="20"/>
        </w:rPr>
      </w:pPr>
      <w:r w:rsidRPr="0055317D">
        <w:rPr>
          <w:rFonts w:ascii="Titillium" w:hAnsi="Titillium"/>
          <w:sz w:val="20"/>
          <w:szCs w:val="20"/>
        </w:rPr>
        <w:t>Il socio che richiede l’attestato dovrà</w:t>
      </w:r>
      <w:r w:rsidR="001150D1">
        <w:rPr>
          <w:rFonts w:ascii="Titillium" w:hAnsi="Titillium"/>
          <w:sz w:val="20"/>
          <w:szCs w:val="20"/>
        </w:rPr>
        <w:t xml:space="preserve"> richiederlo mediante mail indirizzata alla segreteria dell’Associazione</w:t>
      </w:r>
      <w:r w:rsidR="00BF0E20" w:rsidRPr="001150D1">
        <w:rPr>
          <w:rFonts w:ascii="Titillium" w:hAnsi="Titillium"/>
          <w:sz w:val="20"/>
          <w:szCs w:val="20"/>
        </w:rPr>
        <w:t>.</w:t>
      </w:r>
    </w:p>
    <w:p w14:paraId="63FDE088" w14:textId="7F5B7FDB" w:rsidR="0055317D" w:rsidRPr="0055317D" w:rsidRDefault="0055317D" w:rsidP="0055317D">
      <w:pPr>
        <w:rPr>
          <w:rFonts w:ascii="Titillium" w:hAnsi="Titillium"/>
          <w:sz w:val="20"/>
          <w:szCs w:val="20"/>
        </w:rPr>
      </w:pPr>
      <w:r w:rsidRPr="0055317D">
        <w:rPr>
          <w:rFonts w:ascii="Titillium" w:hAnsi="Titillium"/>
          <w:sz w:val="20"/>
          <w:szCs w:val="20"/>
        </w:rPr>
        <w:t xml:space="preserve">L'Attività di istruttoria viene espletata dal </w:t>
      </w:r>
      <w:r w:rsidR="0017348A">
        <w:rPr>
          <w:rFonts w:ascii="Titillium" w:hAnsi="Titillium"/>
          <w:sz w:val="20"/>
          <w:szCs w:val="20"/>
        </w:rPr>
        <w:t>Comitato Scientifico e comunicato al consiglio direttivo che ne delibera l’esito positivo o negativo entro trenta giorni dalla richiesta</w:t>
      </w:r>
      <w:r w:rsidRPr="0055317D">
        <w:rPr>
          <w:rFonts w:ascii="Titillium" w:hAnsi="Titillium"/>
          <w:sz w:val="20"/>
          <w:szCs w:val="20"/>
        </w:rPr>
        <w:t>.</w:t>
      </w:r>
    </w:p>
    <w:p w14:paraId="1D9BB553" w14:textId="77777777" w:rsidR="0055317D" w:rsidRPr="0055317D" w:rsidRDefault="0055317D" w:rsidP="0055317D">
      <w:pPr>
        <w:rPr>
          <w:rFonts w:ascii="Titillium" w:hAnsi="Titillium"/>
          <w:sz w:val="20"/>
          <w:szCs w:val="20"/>
        </w:rPr>
      </w:pPr>
    </w:p>
    <w:p w14:paraId="7987E48D" w14:textId="77777777" w:rsidR="0055317D" w:rsidRPr="00BF0E20" w:rsidRDefault="0055317D" w:rsidP="0055317D">
      <w:pPr>
        <w:rPr>
          <w:rFonts w:ascii="Titillium" w:hAnsi="Titillium"/>
          <w:b/>
          <w:bCs/>
          <w:sz w:val="20"/>
          <w:szCs w:val="20"/>
        </w:rPr>
      </w:pPr>
      <w:r w:rsidRPr="00BF0E20">
        <w:rPr>
          <w:rFonts w:ascii="Titillium" w:hAnsi="Titillium"/>
          <w:b/>
          <w:bCs/>
          <w:sz w:val="20"/>
          <w:szCs w:val="20"/>
        </w:rPr>
        <w:t>Articolo 6</w:t>
      </w:r>
    </w:p>
    <w:p w14:paraId="602A8277" w14:textId="73AFC2AE" w:rsidR="0055317D" w:rsidRPr="00BF0E20" w:rsidRDefault="0055317D" w:rsidP="0055317D">
      <w:pPr>
        <w:rPr>
          <w:rFonts w:ascii="Titillium" w:hAnsi="Titillium"/>
          <w:b/>
          <w:bCs/>
          <w:color w:val="0070C0"/>
          <w:sz w:val="20"/>
          <w:szCs w:val="20"/>
        </w:rPr>
      </w:pPr>
      <w:r w:rsidRPr="001A230B">
        <w:rPr>
          <w:rFonts w:ascii="Titillium" w:hAnsi="Titillium"/>
          <w:b/>
          <w:bCs/>
          <w:color w:val="0070C0"/>
          <w:sz w:val="20"/>
          <w:szCs w:val="20"/>
        </w:rPr>
        <w:t xml:space="preserve">Modalità </w:t>
      </w:r>
      <w:r w:rsidR="001A230B">
        <w:rPr>
          <w:rFonts w:ascii="Titillium" w:hAnsi="Titillium"/>
          <w:b/>
          <w:bCs/>
          <w:color w:val="0070C0"/>
          <w:sz w:val="20"/>
          <w:szCs w:val="20"/>
        </w:rPr>
        <w:t>per</w:t>
      </w:r>
      <w:r w:rsidR="008274EE" w:rsidRPr="001A230B">
        <w:rPr>
          <w:rFonts w:ascii="Titillium" w:hAnsi="Titillium"/>
          <w:b/>
          <w:bCs/>
          <w:color w:val="0070C0"/>
          <w:sz w:val="20"/>
          <w:szCs w:val="20"/>
        </w:rPr>
        <w:t xml:space="preserve"> </w:t>
      </w:r>
      <w:r w:rsidR="001A230B" w:rsidRPr="001A230B">
        <w:rPr>
          <w:rFonts w:ascii="Titillium" w:hAnsi="Titillium"/>
          <w:b/>
          <w:bCs/>
          <w:color w:val="0070C0"/>
          <w:sz w:val="20"/>
          <w:szCs w:val="20"/>
        </w:rPr>
        <w:t>l’assolvimento</w:t>
      </w:r>
      <w:r w:rsidR="008274EE" w:rsidRPr="001A230B">
        <w:rPr>
          <w:rFonts w:ascii="Titillium" w:hAnsi="Titillium"/>
          <w:b/>
          <w:bCs/>
          <w:color w:val="0070C0"/>
          <w:sz w:val="20"/>
          <w:szCs w:val="20"/>
        </w:rPr>
        <w:t xml:space="preserve"> dell’obbligo di aggiornamento professionale</w:t>
      </w:r>
    </w:p>
    <w:p w14:paraId="698B2F88" w14:textId="279B2200" w:rsidR="0055317D" w:rsidRPr="0055317D" w:rsidRDefault="0055317D" w:rsidP="0055317D">
      <w:pPr>
        <w:rPr>
          <w:rFonts w:ascii="Titillium" w:hAnsi="Titillium"/>
          <w:sz w:val="20"/>
          <w:szCs w:val="20"/>
        </w:rPr>
      </w:pPr>
      <w:r w:rsidRPr="0055317D">
        <w:rPr>
          <w:rFonts w:ascii="Titillium" w:hAnsi="Titillium"/>
          <w:sz w:val="20"/>
          <w:szCs w:val="20"/>
        </w:rPr>
        <w:t xml:space="preserve">La competenza relativa al controllo dell’assolvimento dell’obbligo di formazione professionale prevista dal presente </w:t>
      </w:r>
      <w:r w:rsidR="00101AF1">
        <w:rPr>
          <w:rFonts w:ascii="Titillium" w:hAnsi="Titillium"/>
          <w:sz w:val="20"/>
          <w:szCs w:val="20"/>
        </w:rPr>
        <w:t>Regolamento</w:t>
      </w:r>
      <w:r w:rsidRPr="0055317D">
        <w:rPr>
          <w:rFonts w:ascii="Titillium" w:hAnsi="Titillium"/>
          <w:sz w:val="20"/>
          <w:szCs w:val="20"/>
        </w:rPr>
        <w:t xml:space="preserve"> è demandata al Consiglio Direttivo.</w:t>
      </w:r>
    </w:p>
    <w:p w14:paraId="1BAB513F" w14:textId="08904B4B" w:rsidR="0055317D" w:rsidRPr="0055317D" w:rsidRDefault="0055317D" w:rsidP="0055317D">
      <w:pPr>
        <w:rPr>
          <w:rFonts w:ascii="Titillium" w:hAnsi="Titillium"/>
          <w:sz w:val="20"/>
          <w:szCs w:val="20"/>
        </w:rPr>
      </w:pPr>
      <w:r w:rsidRPr="0055317D">
        <w:rPr>
          <w:rFonts w:ascii="Titillium" w:hAnsi="Titillium"/>
          <w:sz w:val="20"/>
          <w:szCs w:val="20"/>
        </w:rPr>
        <w:t xml:space="preserve">Ai fini dell’adempimento dell’aggiornamento </w:t>
      </w:r>
      <w:r w:rsidR="008274EE">
        <w:rPr>
          <w:rFonts w:ascii="Titillium" w:hAnsi="Titillium"/>
          <w:sz w:val="20"/>
          <w:szCs w:val="20"/>
        </w:rPr>
        <w:t xml:space="preserve">professionale </w:t>
      </w:r>
      <w:r w:rsidRPr="0055317D">
        <w:rPr>
          <w:rFonts w:ascii="Titillium" w:hAnsi="Titillium"/>
          <w:sz w:val="20"/>
          <w:szCs w:val="20"/>
        </w:rPr>
        <w:t>obbligatorio, il socio richiedente l’attestazione o il suo rinnovo deve dimostrare di aver conseguito almeno 24 crediti formativi</w:t>
      </w:r>
      <w:r w:rsidR="00277D6F">
        <w:rPr>
          <w:rFonts w:ascii="Titillium" w:hAnsi="Titillium"/>
          <w:sz w:val="20"/>
          <w:szCs w:val="20"/>
        </w:rPr>
        <w:t xml:space="preserve"> </w:t>
      </w:r>
      <w:r w:rsidR="00277D6F" w:rsidRPr="004F5359">
        <w:rPr>
          <w:rFonts w:ascii="Titillium" w:hAnsi="Titillium"/>
          <w:sz w:val="20"/>
          <w:szCs w:val="20"/>
        </w:rPr>
        <w:t>nell’anno precedente la richiesta di attestazione</w:t>
      </w:r>
      <w:r w:rsidRPr="004F5359">
        <w:rPr>
          <w:rFonts w:ascii="Titillium" w:hAnsi="Titillium"/>
          <w:sz w:val="20"/>
          <w:szCs w:val="20"/>
        </w:rPr>
        <w:t>:</w:t>
      </w:r>
    </w:p>
    <w:p w14:paraId="16589363" w14:textId="4638816C" w:rsidR="0055317D" w:rsidRPr="0055317D" w:rsidRDefault="00BF0E20" w:rsidP="00BF0E20">
      <w:pPr>
        <w:pStyle w:val="Paragrafoelenco"/>
        <w:numPr>
          <w:ilvl w:val="0"/>
          <w:numId w:val="28"/>
        </w:numPr>
        <w:ind w:left="284" w:hanging="284"/>
        <w:contextualSpacing w:val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s</w:t>
      </w:r>
      <w:r w:rsidR="0055317D" w:rsidRPr="0055317D">
        <w:rPr>
          <w:rFonts w:ascii="Titillium" w:hAnsi="Titillium"/>
          <w:sz w:val="20"/>
          <w:szCs w:val="20"/>
        </w:rPr>
        <w:t>ono automaticamente riconosciute valide le attivit</w:t>
      </w:r>
      <w:r w:rsidR="0055317D" w:rsidRPr="00BF0E20">
        <w:rPr>
          <w:rFonts w:ascii="Titillium" w:hAnsi="Titillium"/>
          <w:sz w:val="20"/>
          <w:szCs w:val="20"/>
        </w:rPr>
        <w:t>à</w:t>
      </w:r>
      <w:r w:rsidR="0055317D" w:rsidRPr="0055317D">
        <w:rPr>
          <w:rFonts w:ascii="Titillium" w:hAnsi="Titillium"/>
          <w:sz w:val="20"/>
          <w:szCs w:val="20"/>
        </w:rPr>
        <w:t xml:space="preserve"> istituzionali e i laboratori dell</w:t>
      </w:r>
      <w:r w:rsidR="0055317D" w:rsidRPr="00BF0E20">
        <w:rPr>
          <w:rFonts w:ascii="Titillium" w:hAnsi="Titillium"/>
          <w:sz w:val="20"/>
          <w:szCs w:val="20"/>
        </w:rPr>
        <w:t>’</w:t>
      </w:r>
      <w:r w:rsidRPr="00BF0E20">
        <w:rPr>
          <w:rFonts w:ascii="Titillium" w:hAnsi="Titillium"/>
          <w:sz w:val="20"/>
          <w:szCs w:val="20"/>
        </w:rPr>
        <w:t>A</w:t>
      </w:r>
      <w:r w:rsidR="0055317D" w:rsidRPr="0055317D">
        <w:rPr>
          <w:rFonts w:ascii="Titillium" w:hAnsi="Titillium"/>
          <w:sz w:val="20"/>
          <w:szCs w:val="20"/>
        </w:rPr>
        <w:t xml:space="preserve">ssociazione secondo le modalità definite dall’apposito </w:t>
      </w:r>
      <w:r w:rsidR="00101AF1">
        <w:rPr>
          <w:rFonts w:ascii="Titillium" w:hAnsi="Titillium"/>
          <w:sz w:val="20"/>
          <w:szCs w:val="20"/>
        </w:rPr>
        <w:t>Regolamento</w:t>
      </w:r>
      <w:r>
        <w:rPr>
          <w:rFonts w:ascii="Titillium" w:hAnsi="Titillium"/>
          <w:sz w:val="20"/>
          <w:szCs w:val="20"/>
        </w:rPr>
        <w:t xml:space="preserve"> e </w:t>
      </w:r>
      <w:r w:rsidRPr="0055317D">
        <w:rPr>
          <w:rFonts w:ascii="Titillium" w:hAnsi="Titillium"/>
          <w:sz w:val="20"/>
          <w:szCs w:val="20"/>
        </w:rPr>
        <w:t>preventivamente approvati dal Consiglio Direttivo</w:t>
      </w:r>
      <w:r>
        <w:rPr>
          <w:rFonts w:ascii="Titillium" w:hAnsi="Titillium"/>
          <w:sz w:val="20"/>
          <w:szCs w:val="20"/>
        </w:rPr>
        <w:t>;</w:t>
      </w:r>
    </w:p>
    <w:p w14:paraId="5F1B0AF7" w14:textId="32EB251E" w:rsidR="0055317D" w:rsidRDefault="00BF0E20" w:rsidP="00BF0E20">
      <w:pPr>
        <w:pStyle w:val="Paragrafoelenco"/>
        <w:numPr>
          <w:ilvl w:val="0"/>
          <w:numId w:val="28"/>
        </w:numPr>
        <w:ind w:left="284" w:hanging="284"/>
        <w:contextualSpacing w:val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s</w:t>
      </w:r>
      <w:r w:rsidR="0055317D" w:rsidRPr="0055317D">
        <w:rPr>
          <w:rFonts w:ascii="Titillium" w:hAnsi="Titillium"/>
          <w:sz w:val="20"/>
          <w:szCs w:val="20"/>
        </w:rPr>
        <w:t>ono riconosciute valide, ai fini della formazione, le attivit</w:t>
      </w:r>
      <w:r w:rsidR="0055317D" w:rsidRPr="00BF0E20">
        <w:rPr>
          <w:rFonts w:ascii="Titillium" w:hAnsi="Titillium"/>
          <w:sz w:val="20"/>
          <w:szCs w:val="20"/>
        </w:rPr>
        <w:t>à</w:t>
      </w:r>
      <w:r w:rsidR="0055317D" w:rsidRPr="0055317D">
        <w:rPr>
          <w:rFonts w:ascii="Titillium" w:hAnsi="Titillium"/>
          <w:sz w:val="20"/>
          <w:szCs w:val="20"/>
        </w:rPr>
        <w:t xml:space="preserve"> e i convegni ai quali il Consiglio Direttivo abbia concesso il </w:t>
      </w:r>
      <w:r>
        <w:rPr>
          <w:rFonts w:ascii="Titillium" w:hAnsi="Titillium"/>
          <w:sz w:val="20"/>
          <w:szCs w:val="20"/>
        </w:rPr>
        <w:t>p</w:t>
      </w:r>
      <w:r w:rsidR="0055317D" w:rsidRPr="0055317D">
        <w:rPr>
          <w:rFonts w:ascii="Titillium" w:hAnsi="Titillium"/>
          <w:sz w:val="20"/>
          <w:szCs w:val="20"/>
        </w:rPr>
        <w:t>atrocinio o l</w:t>
      </w:r>
      <w:r w:rsidR="0055317D" w:rsidRPr="00BF0E20">
        <w:rPr>
          <w:rFonts w:ascii="Titillium" w:hAnsi="Titillium"/>
          <w:sz w:val="20"/>
          <w:szCs w:val="20"/>
        </w:rPr>
        <w:t>’</w:t>
      </w:r>
      <w:r w:rsidR="0055317D" w:rsidRPr="0055317D">
        <w:rPr>
          <w:rFonts w:ascii="Titillium" w:hAnsi="Titillium"/>
          <w:sz w:val="20"/>
          <w:szCs w:val="20"/>
        </w:rPr>
        <w:t>uso del logo</w:t>
      </w:r>
      <w:r>
        <w:rPr>
          <w:rFonts w:ascii="Titillium" w:hAnsi="Titillium"/>
          <w:sz w:val="20"/>
          <w:szCs w:val="20"/>
        </w:rPr>
        <w:t xml:space="preserve"> dell’Associazione;</w:t>
      </w:r>
    </w:p>
    <w:p w14:paraId="300B2790" w14:textId="77777777" w:rsidR="000C48CA" w:rsidRPr="000C48CA" w:rsidRDefault="000C48CA" w:rsidP="000C48CA">
      <w:pPr>
        <w:pStyle w:val="Paragrafoelenco"/>
        <w:numPr>
          <w:ilvl w:val="0"/>
          <w:numId w:val="28"/>
        </w:numPr>
        <w:ind w:left="284" w:hanging="284"/>
        <w:rPr>
          <w:rFonts w:ascii="Titillium" w:hAnsi="Titillium"/>
          <w:sz w:val="20"/>
          <w:szCs w:val="20"/>
        </w:rPr>
      </w:pPr>
      <w:r w:rsidRPr="000C48CA">
        <w:rPr>
          <w:rFonts w:ascii="Titillium" w:hAnsi="Titillium"/>
          <w:sz w:val="20"/>
          <w:szCs w:val="20"/>
        </w:rPr>
        <w:t>Il Comitato Scientifico può validare anche tutte le altre proposte formative che i soci hanno frequentato sulla base di debita documentazione, così come dettagliato nel punto precedente.</w:t>
      </w:r>
    </w:p>
    <w:p w14:paraId="01FBB00B" w14:textId="77777777" w:rsidR="000C48CA" w:rsidRPr="000C48CA" w:rsidRDefault="000C48CA" w:rsidP="000C48CA">
      <w:pPr>
        <w:rPr>
          <w:rFonts w:ascii="Titillium" w:hAnsi="Titillium"/>
          <w:sz w:val="20"/>
          <w:szCs w:val="20"/>
        </w:rPr>
      </w:pPr>
    </w:p>
    <w:p w14:paraId="2B8082F1" w14:textId="731FD710" w:rsidR="0055317D" w:rsidRPr="0055317D" w:rsidRDefault="00277D6F" w:rsidP="004F5359">
      <w:pPr>
        <w:pStyle w:val="Paragrafoelenco"/>
        <w:numPr>
          <w:ilvl w:val="0"/>
          <w:numId w:val="28"/>
        </w:numPr>
        <w:ind w:left="284" w:hanging="284"/>
        <w:contextualSpacing w:val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br w:type="column"/>
      </w:r>
      <w:r w:rsidR="00BF0E20">
        <w:rPr>
          <w:rFonts w:ascii="Titillium" w:hAnsi="Titillium"/>
          <w:sz w:val="20"/>
          <w:szCs w:val="20"/>
        </w:rPr>
        <w:lastRenderedPageBreak/>
        <w:t>s</w:t>
      </w:r>
      <w:r w:rsidR="0055317D" w:rsidRPr="0055317D">
        <w:rPr>
          <w:rFonts w:ascii="Titillium" w:hAnsi="Titillium"/>
          <w:sz w:val="20"/>
          <w:szCs w:val="20"/>
        </w:rPr>
        <w:t>ono, altres</w:t>
      </w:r>
      <w:r w:rsidR="0055317D" w:rsidRPr="00BF0E20">
        <w:rPr>
          <w:rFonts w:ascii="Titillium" w:hAnsi="Titillium"/>
          <w:sz w:val="20"/>
          <w:szCs w:val="20"/>
        </w:rPr>
        <w:t>ì</w:t>
      </w:r>
      <w:r w:rsidR="0055317D" w:rsidRPr="0055317D">
        <w:rPr>
          <w:rFonts w:ascii="Titillium" w:hAnsi="Titillium"/>
          <w:sz w:val="20"/>
          <w:szCs w:val="20"/>
        </w:rPr>
        <w:t>, riconosciute valide le attivit</w:t>
      </w:r>
      <w:r w:rsidR="0055317D" w:rsidRPr="00BF0E20">
        <w:rPr>
          <w:rFonts w:ascii="Titillium" w:hAnsi="Titillium"/>
          <w:sz w:val="20"/>
          <w:szCs w:val="20"/>
        </w:rPr>
        <w:t>à</w:t>
      </w:r>
      <w:r w:rsidR="0055317D" w:rsidRPr="0055317D">
        <w:rPr>
          <w:rFonts w:ascii="Titillium" w:hAnsi="Titillium"/>
          <w:sz w:val="20"/>
          <w:szCs w:val="20"/>
        </w:rPr>
        <w:t xml:space="preserve"> formative esterne (convegni, corsi, seminari, laboratori, master, </w:t>
      </w:r>
      <w:proofErr w:type="spellStart"/>
      <w:r w:rsidR="0055317D" w:rsidRPr="0055317D">
        <w:rPr>
          <w:rFonts w:ascii="Titillium" w:hAnsi="Titillium"/>
          <w:sz w:val="20"/>
          <w:szCs w:val="20"/>
        </w:rPr>
        <w:t>ecc</w:t>
      </w:r>
      <w:proofErr w:type="spellEnd"/>
      <w:r w:rsidR="0055317D" w:rsidRPr="0055317D">
        <w:rPr>
          <w:rFonts w:ascii="Titillium" w:hAnsi="Titillium"/>
          <w:sz w:val="20"/>
          <w:szCs w:val="20"/>
        </w:rPr>
        <w:t xml:space="preserve">) riconosciute </w:t>
      </w:r>
      <w:proofErr w:type="gramStart"/>
      <w:r w:rsidR="0055317D" w:rsidRPr="0055317D">
        <w:rPr>
          <w:rFonts w:ascii="Titillium" w:hAnsi="Titillium"/>
          <w:sz w:val="20"/>
          <w:szCs w:val="20"/>
        </w:rPr>
        <w:t>idonee  dal</w:t>
      </w:r>
      <w:proofErr w:type="gramEnd"/>
      <w:r w:rsidR="0055317D" w:rsidRPr="0055317D">
        <w:rPr>
          <w:rFonts w:ascii="Titillium" w:hAnsi="Titillium"/>
          <w:sz w:val="20"/>
          <w:szCs w:val="20"/>
        </w:rPr>
        <w:t xml:space="preserve"> Consiglio Direttivo in coerenza con i principi e le finalit</w:t>
      </w:r>
      <w:r w:rsidR="0055317D" w:rsidRPr="00BF0E20">
        <w:rPr>
          <w:rFonts w:ascii="Titillium" w:hAnsi="Titillium"/>
          <w:sz w:val="20"/>
          <w:szCs w:val="20"/>
        </w:rPr>
        <w:t>à</w:t>
      </w:r>
      <w:r w:rsidR="0055317D" w:rsidRPr="0055317D">
        <w:rPr>
          <w:rFonts w:ascii="Titillium" w:hAnsi="Titillium"/>
          <w:sz w:val="20"/>
          <w:szCs w:val="20"/>
        </w:rPr>
        <w:t xml:space="preserve"> dell</w:t>
      </w:r>
      <w:r w:rsidR="0055317D" w:rsidRPr="00BF0E20">
        <w:rPr>
          <w:rFonts w:ascii="Titillium" w:hAnsi="Titillium"/>
          <w:sz w:val="20"/>
          <w:szCs w:val="20"/>
        </w:rPr>
        <w:t>’</w:t>
      </w:r>
      <w:r w:rsidR="00BF0E20" w:rsidRPr="00BF0E20">
        <w:rPr>
          <w:rFonts w:ascii="Titillium" w:hAnsi="Titillium"/>
          <w:sz w:val="20"/>
          <w:szCs w:val="20"/>
        </w:rPr>
        <w:t>A</w:t>
      </w:r>
      <w:r w:rsidR="0055317D" w:rsidRPr="0055317D">
        <w:rPr>
          <w:rFonts w:ascii="Titillium" w:hAnsi="Titillium"/>
          <w:sz w:val="20"/>
          <w:szCs w:val="20"/>
        </w:rPr>
        <w:t>ssociazione.</w:t>
      </w:r>
    </w:p>
    <w:p w14:paraId="29289B31" w14:textId="77777777" w:rsidR="004F5359" w:rsidRDefault="004F5359" w:rsidP="0055317D">
      <w:pPr>
        <w:rPr>
          <w:rFonts w:ascii="Titillium" w:hAnsi="Titillium"/>
          <w:sz w:val="20"/>
          <w:szCs w:val="20"/>
        </w:rPr>
      </w:pPr>
    </w:p>
    <w:p w14:paraId="7C2C2FE3" w14:textId="1D42DD18" w:rsidR="0055317D" w:rsidRPr="0055317D" w:rsidRDefault="0055317D" w:rsidP="0055317D">
      <w:pPr>
        <w:rPr>
          <w:rFonts w:ascii="Titillium" w:hAnsi="Titillium"/>
          <w:sz w:val="20"/>
          <w:szCs w:val="20"/>
        </w:rPr>
      </w:pPr>
      <w:r w:rsidRPr="0055317D">
        <w:rPr>
          <w:rFonts w:ascii="Titillium" w:hAnsi="Titillium"/>
          <w:sz w:val="20"/>
          <w:szCs w:val="20"/>
        </w:rPr>
        <w:t xml:space="preserve">Il riconoscimento </w:t>
      </w:r>
      <w:r w:rsidR="00BF0E20">
        <w:rPr>
          <w:rFonts w:ascii="Titillium" w:hAnsi="Titillium"/>
          <w:sz w:val="20"/>
          <w:szCs w:val="20"/>
        </w:rPr>
        <w:t>d</w:t>
      </w:r>
      <w:r w:rsidRPr="0055317D">
        <w:rPr>
          <w:rFonts w:ascii="Titillium" w:hAnsi="Titillium"/>
          <w:sz w:val="20"/>
          <w:szCs w:val="20"/>
        </w:rPr>
        <w:t xml:space="preserve">ella validità </w:t>
      </w:r>
      <w:r w:rsidR="00BF0E20">
        <w:rPr>
          <w:rFonts w:ascii="Titillium" w:hAnsi="Titillium"/>
          <w:sz w:val="20"/>
          <w:szCs w:val="20"/>
        </w:rPr>
        <w:t>di</w:t>
      </w:r>
      <w:r w:rsidRPr="0055317D">
        <w:rPr>
          <w:rFonts w:ascii="Titillium" w:hAnsi="Titillium"/>
          <w:sz w:val="20"/>
          <w:szCs w:val="20"/>
        </w:rPr>
        <w:t xml:space="preserve"> attività formative esterne per il conseguimento dei crediti può essere richiesto sia </w:t>
      </w:r>
      <w:r w:rsidRPr="00BF0E20">
        <w:rPr>
          <w:rFonts w:ascii="Titillium" w:hAnsi="Titillium"/>
          <w:i/>
          <w:iCs/>
          <w:sz w:val="20"/>
          <w:szCs w:val="20"/>
        </w:rPr>
        <w:t>ex ante</w:t>
      </w:r>
      <w:r w:rsidR="00BF0E20">
        <w:rPr>
          <w:rFonts w:ascii="Titillium" w:hAnsi="Titillium"/>
          <w:sz w:val="20"/>
          <w:szCs w:val="20"/>
        </w:rPr>
        <w:t xml:space="preserve">, </w:t>
      </w:r>
      <w:r w:rsidRPr="0055317D">
        <w:rPr>
          <w:rFonts w:ascii="Titillium" w:hAnsi="Titillium"/>
          <w:sz w:val="20"/>
          <w:szCs w:val="20"/>
        </w:rPr>
        <w:t xml:space="preserve">sia </w:t>
      </w:r>
      <w:r w:rsidRPr="00BF0E20">
        <w:rPr>
          <w:rFonts w:ascii="Titillium" w:hAnsi="Titillium"/>
          <w:i/>
          <w:iCs/>
          <w:sz w:val="20"/>
          <w:szCs w:val="20"/>
        </w:rPr>
        <w:t>ex post</w:t>
      </w:r>
      <w:r w:rsidRPr="0055317D">
        <w:rPr>
          <w:rFonts w:ascii="Titillium" w:hAnsi="Titillium"/>
          <w:sz w:val="20"/>
          <w:szCs w:val="20"/>
        </w:rPr>
        <w:t xml:space="preserve">, trasmettendo </w:t>
      </w:r>
      <w:r w:rsidR="00BF0E20">
        <w:rPr>
          <w:rFonts w:ascii="Titillium" w:hAnsi="Titillium"/>
          <w:sz w:val="20"/>
          <w:szCs w:val="20"/>
        </w:rPr>
        <w:t>al Consiglio Direttivo</w:t>
      </w:r>
      <w:r w:rsidR="00BF0E20" w:rsidRPr="0055317D">
        <w:rPr>
          <w:rFonts w:ascii="Titillium" w:hAnsi="Titillium"/>
          <w:sz w:val="20"/>
          <w:szCs w:val="20"/>
        </w:rPr>
        <w:t xml:space="preserve"> </w:t>
      </w:r>
      <w:r w:rsidRPr="0055317D">
        <w:rPr>
          <w:rFonts w:ascii="Titillium" w:hAnsi="Titillium"/>
          <w:sz w:val="20"/>
          <w:szCs w:val="20"/>
        </w:rPr>
        <w:t>tutta la documentazione inerente. Potrà essere richiesto un costo di istruttoria.</w:t>
      </w:r>
    </w:p>
    <w:bookmarkEnd w:id="0"/>
    <w:p w14:paraId="62901CBD" w14:textId="77777777" w:rsidR="00530215" w:rsidRDefault="00530215" w:rsidP="00530215">
      <w:pPr>
        <w:jc w:val="center"/>
        <w:rPr>
          <w:rFonts w:ascii="Titillium" w:hAnsi="Titillium"/>
          <w:sz w:val="20"/>
          <w:szCs w:val="20"/>
        </w:rPr>
      </w:pPr>
    </w:p>
    <w:p w14:paraId="081401BD" w14:textId="77777777" w:rsidR="00277D6F" w:rsidRDefault="00277D6F" w:rsidP="00530215">
      <w:pPr>
        <w:jc w:val="center"/>
        <w:rPr>
          <w:rFonts w:ascii="Titillium" w:hAnsi="Titillium"/>
          <w:sz w:val="20"/>
          <w:szCs w:val="20"/>
        </w:rPr>
        <w:sectPr w:rsidR="00277D6F" w:rsidSect="00277D6F">
          <w:type w:val="continuous"/>
          <w:pgSz w:w="11900" w:h="16840" w:code="9"/>
          <w:pgMar w:top="2268" w:right="1134" w:bottom="1134" w:left="1134" w:header="709" w:footer="709" w:gutter="0"/>
          <w:pgNumType w:start="1"/>
          <w:cols w:num="2" w:space="561"/>
        </w:sectPr>
      </w:pPr>
    </w:p>
    <w:p w14:paraId="4157F935" w14:textId="02935B6C" w:rsidR="00530215" w:rsidRDefault="00530215" w:rsidP="00530215">
      <w:pPr>
        <w:jc w:val="center"/>
        <w:rPr>
          <w:rFonts w:ascii="Titillium" w:hAnsi="Titillium"/>
          <w:sz w:val="20"/>
          <w:szCs w:val="20"/>
        </w:rPr>
      </w:pPr>
    </w:p>
    <w:p w14:paraId="6A26F4B4" w14:textId="73869F9E" w:rsidR="00277D6F" w:rsidRDefault="00277D6F" w:rsidP="00530215">
      <w:pPr>
        <w:jc w:val="center"/>
        <w:rPr>
          <w:rFonts w:ascii="Titillium" w:hAnsi="Titillium"/>
          <w:sz w:val="20"/>
          <w:szCs w:val="20"/>
        </w:rPr>
      </w:pPr>
    </w:p>
    <w:p w14:paraId="0EA65568" w14:textId="1E272491" w:rsidR="00277D6F" w:rsidRDefault="00277D6F" w:rsidP="00530215">
      <w:pPr>
        <w:jc w:val="center"/>
        <w:rPr>
          <w:rFonts w:ascii="Titillium" w:hAnsi="Titillium"/>
          <w:sz w:val="20"/>
          <w:szCs w:val="20"/>
        </w:rPr>
      </w:pPr>
    </w:p>
    <w:p w14:paraId="5EB2817A" w14:textId="77777777" w:rsidR="00277D6F" w:rsidRDefault="00277D6F" w:rsidP="00530215">
      <w:pPr>
        <w:jc w:val="center"/>
        <w:rPr>
          <w:rFonts w:ascii="Titillium" w:hAnsi="Titillium"/>
          <w:sz w:val="20"/>
          <w:szCs w:val="20"/>
        </w:rPr>
      </w:pPr>
    </w:p>
    <w:p w14:paraId="34B647E1" w14:textId="4DAB57E6" w:rsidR="00530215" w:rsidRPr="00576DD6" w:rsidRDefault="00530215" w:rsidP="00530215">
      <w:pPr>
        <w:jc w:val="center"/>
        <w:rPr>
          <w:rFonts w:ascii="Titillium" w:hAnsi="Titillium"/>
          <w:sz w:val="20"/>
          <w:szCs w:val="20"/>
        </w:rPr>
      </w:pPr>
      <w:r>
        <w:rPr>
          <w:rFonts w:ascii="Titillium" w:hAnsi="Titillium"/>
          <w:noProof/>
          <w:sz w:val="20"/>
          <w:szCs w:val="20"/>
        </w:rPr>
        <w:drawing>
          <wp:inline distT="0" distB="0" distL="0" distR="0" wp14:anchorId="57AC49E5" wp14:editId="7FA177D1">
            <wp:extent cx="2879725" cy="2879725"/>
            <wp:effectExtent l="0" t="0" r="0" b="0"/>
            <wp:docPr id="2" name="Immagine 2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infe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0215" w:rsidRPr="00576DD6" w:rsidSect="00277D6F">
      <w:type w:val="continuous"/>
      <w:pgSz w:w="11900" w:h="16840" w:code="9"/>
      <w:pgMar w:top="2268" w:right="1134" w:bottom="1134" w:left="1134" w:header="709" w:footer="709" w:gutter="0"/>
      <w:pgNumType w:start="1"/>
      <w:cols w:space="5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17947" w14:textId="77777777" w:rsidR="001A01DA" w:rsidRDefault="001A01DA">
      <w:r>
        <w:separator/>
      </w:r>
    </w:p>
  </w:endnote>
  <w:endnote w:type="continuationSeparator" w:id="0">
    <w:p w14:paraId="508D19BF" w14:textId="77777777" w:rsidR="001A01DA" w:rsidRDefault="001A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tillium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E1EA1" w14:textId="1049F8C4" w:rsidR="00576DD6" w:rsidRPr="00576DD6" w:rsidRDefault="00907C95">
    <w:pPr>
      <w:pStyle w:val="Pidipagina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Regolamento</w:t>
    </w:r>
    <w:r w:rsidR="00576DD6" w:rsidRPr="00576DD6">
      <w:rPr>
        <w:rFonts w:ascii="Arial Black" w:hAnsi="Arial Black"/>
        <w:sz w:val="20"/>
        <w:szCs w:val="20"/>
      </w:rPr>
      <w:tab/>
    </w:r>
    <w:r w:rsidR="00576DD6" w:rsidRPr="00576DD6">
      <w:rPr>
        <w:rFonts w:ascii="Arial Black" w:hAnsi="Arial Black"/>
        <w:sz w:val="20"/>
        <w:szCs w:val="20"/>
      </w:rPr>
      <w:tab/>
      <w:t xml:space="preserve">Pagina </w:t>
    </w:r>
    <w:r w:rsidR="00576DD6" w:rsidRPr="00576DD6">
      <w:rPr>
        <w:rFonts w:ascii="Arial Black" w:hAnsi="Arial Black"/>
        <w:sz w:val="20"/>
        <w:szCs w:val="20"/>
      </w:rPr>
      <w:fldChar w:fldCharType="begin"/>
    </w:r>
    <w:r w:rsidR="00576DD6" w:rsidRPr="00576DD6">
      <w:rPr>
        <w:rFonts w:ascii="Arial Black" w:hAnsi="Arial Black"/>
        <w:sz w:val="20"/>
        <w:szCs w:val="20"/>
      </w:rPr>
      <w:instrText xml:space="preserve"> PAGE   \* MERGEFORMAT </w:instrText>
    </w:r>
    <w:r w:rsidR="00576DD6" w:rsidRPr="00576DD6">
      <w:rPr>
        <w:rFonts w:ascii="Arial Black" w:hAnsi="Arial Black"/>
        <w:sz w:val="20"/>
        <w:szCs w:val="20"/>
      </w:rPr>
      <w:fldChar w:fldCharType="separate"/>
    </w:r>
    <w:r w:rsidR="00576DD6" w:rsidRPr="00576DD6">
      <w:rPr>
        <w:rFonts w:ascii="Arial Black" w:hAnsi="Arial Black"/>
        <w:noProof/>
        <w:sz w:val="20"/>
        <w:szCs w:val="20"/>
      </w:rPr>
      <w:t>1</w:t>
    </w:r>
    <w:r w:rsidR="00576DD6" w:rsidRPr="00576DD6">
      <w:rPr>
        <w:rFonts w:ascii="Arial Black" w:hAnsi="Arial Black"/>
        <w:sz w:val="20"/>
        <w:szCs w:val="20"/>
      </w:rPr>
      <w:fldChar w:fldCharType="end"/>
    </w:r>
    <w:r w:rsidR="00576DD6" w:rsidRPr="00576DD6">
      <w:rPr>
        <w:rFonts w:ascii="Arial Black" w:hAnsi="Arial Black"/>
        <w:sz w:val="20"/>
        <w:szCs w:val="20"/>
      </w:rPr>
      <w:t xml:space="preserve"> di </w:t>
    </w:r>
    <w:r w:rsidR="00576DD6" w:rsidRPr="00576DD6">
      <w:rPr>
        <w:rFonts w:ascii="Arial Black" w:hAnsi="Arial Black"/>
        <w:sz w:val="20"/>
        <w:szCs w:val="20"/>
      </w:rPr>
      <w:fldChar w:fldCharType="begin"/>
    </w:r>
    <w:r w:rsidR="00576DD6" w:rsidRPr="00576DD6">
      <w:rPr>
        <w:rFonts w:ascii="Arial Black" w:hAnsi="Arial Black"/>
        <w:sz w:val="20"/>
        <w:szCs w:val="20"/>
      </w:rPr>
      <w:instrText xml:space="preserve"> NUMPAGES   \* MERGEFORMAT </w:instrText>
    </w:r>
    <w:r w:rsidR="00576DD6" w:rsidRPr="00576DD6">
      <w:rPr>
        <w:rFonts w:ascii="Arial Black" w:hAnsi="Arial Black"/>
        <w:sz w:val="20"/>
        <w:szCs w:val="20"/>
      </w:rPr>
      <w:fldChar w:fldCharType="separate"/>
    </w:r>
    <w:r w:rsidR="00576DD6" w:rsidRPr="00576DD6">
      <w:rPr>
        <w:rFonts w:ascii="Arial Black" w:hAnsi="Arial Black"/>
        <w:noProof/>
        <w:sz w:val="20"/>
        <w:szCs w:val="20"/>
      </w:rPr>
      <w:t>13</w:t>
    </w:r>
    <w:r w:rsidR="00576DD6" w:rsidRPr="00576DD6">
      <w:rPr>
        <w:rFonts w:ascii="Arial Black" w:hAnsi="Arial Black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37A5E" w14:textId="77777777" w:rsidR="001A01DA" w:rsidRDefault="001A01DA">
      <w:r>
        <w:separator/>
      </w:r>
    </w:p>
  </w:footnote>
  <w:footnote w:type="continuationSeparator" w:id="0">
    <w:p w14:paraId="187A630F" w14:textId="77777777" w:rsidR="001A01DA" w:rsidRDefault="001A0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C209" w14:textId="3A6B33A1" w:rsidR="00576DD6" w:rsidRDefault="00576DD6" w:rsidP="00576DD6">
    <w:pPr>
      <w:pStyle w:val="Intestazione"/>
      <w:jc w:val="center"/>
    </w:pPr>
    <w:r>
      <w:rPr>
        <w:noProof/>
      </w:rPr>
      <w:drawing>
        <wp:inline distT="0" distB="0" distL="0" distR="0" wp14:anchorId="4A6A0EAD" wp14:editId="06EA1F48">
          <wp:extent cx="720000" cy="720000"/>
          <wp:effectExtent l="0" t="0" r="4445" b="4445"/>
          <wp:docPr id="1" name="Immagine 1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nfe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A873FE" w14:textId="31A32C5C" w:rsidR="00576DD6" w:rsidRPr="00576DD6" w:rsidRDefault="00576DD6" w:rsidP="00576DD6">
    <w:pPr>
      <w:pStyle w:val="Intestazione"/>
      <w:jc w:val="center"/>
      <w:rPr>
        <w:rFonts w:ascii="Arial" w:hAnsi="Arial" w:cs="Arial"/>
        <w:b/>
        <w:bCs/>
        <w:sz w:val="20"/>
        <w:szCs w:val="20"/>
      </w:rPr>
    </w:pPr>
    <w:r w:rsidRPr="00576DD6">
      <w:rPr>
        <w:rFonts w:ascii="Arial" w:hAnsi="Arial" w:cs="Arial"/>
        <w:b/>
        <w:bCs/>
        <w:sz w:val="20"/>
        <w:szCs w:val="20"/>
      </w:rPr>
      <w:t>Associazione Nazionale per l’Educazione Informale e Non Formale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5B0F"/>
    <w:multiLevelType w:val="hybridMultilevel"/>
    <w:tmpl w:val="39002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266F2"/>
    <w:multiLevelType w:val="hybridMultilevel"/>
    <w:tmpl w:val="4F8C2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1A6D"/>
    <w:multiLevelType w:val="hybridMultilevel"/>
    <w:tmpl w:val="0A0004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BFE777E">
      <w:start w:val="3"/>
      <w:numFmt w:val="bullet"/>
      <w:lvlText w:val="–"/>
      <w:lvlJc w:val="left"/>
      <w:pPr>
        <w:ind w:left="1440" w:hanging="360"/>
      </w:pPr>
      <w:rPr>
        <w:rFonts w:ascii="Titillium" w:eastAsia="Calibri" w:hAnsi="Titillium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D749F"/>
    <w:multiLevelType w:val="hybridMultilevel"/>
    <w:tmpl w:val="AC4664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5532A"/>
    <w:multiLevelType w:val="hybridMultilevel"/>
    <w:tmpl w:val="70FCDD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F0E5A"/>
    <w:multiLevelType w:val="hybridMultilevel"/>
    <w:tmpl w:val="A9F0E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E1E7A"/>
    <w:multiLevelType w:val="hybridMultilevel"/>
    <w:tmpl w:val="B430351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C759D"/>
    <w:multiLevelType w:val="hybridMultilevel"/>
    <w:tmpl w:val="D6308D8C"/>
    <w:lvl w:ilvl="0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0E59B5"/>
    <w:multiLevelType w:val="hybridMultilevel"/>
    <w:tmpl w:val="968025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9313E"/>
    <w:multiLevelType w:val="hybridMultilevel"/>
    <w:tmpl w:val="A4F01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462B6"/>
    <w:multiLevelType w:val="hybridMultilevel"/>
    <w:tmpl w:val="6EF88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A73AA"/>
    <w:multiLevelType w:val="multilevel"/>
    <w:tmpl w:val="0C7EA1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F3F9B"/>
    <w:multiLevelType w:val="hybridMultilevel"/>
    <w:tmpl w:val="B7C805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E2E3F"/>
    <w:multiLevelType w:val="hybridMultilevel"/>
    <w:tmpl w:val="D67AA6E8"/>
    <w:lvl w:ilvl="0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640558"/>
    <w:multiLevelType w:val="hybridMultilevel"/>
    <w:tmpl w:val="7B0E59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40312"/>
    <w:multiLevelType w:val="hybridMultilevel"/>
    <w:tmpl w:val="0DEC83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94400"/>
    <w:multiLevelType w:val="hybridMultilevel"/>
    <w:tmpl w:val="D0EA5494"/>
    <w:lvl w:ilvl="0" w:tplc="981AB8BE">
      <w:numFmt w:val="bullet"/>
      <w:lvlText w:val="–"/>
      <w:lvlJc w:val="left"/>
      <w:pPr>
        <w:ind w:left="720" w:hanging="360"/>
      </w:pPr>
      <w:rPr>
        <w:rFonts w:ascii="Titillium" w:eastAsia="Calibri" w:hAnsi="Titillium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D7B5F"/>
    <w:multiLevelType w:val="hybridMultilevel"/>
    <w:tmpl w:val="66D2E9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256D9"/>
    <w:multiLevelType w:val="hybridMultilevel"/>
    <w:tmpl w:val="8BD265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C76F9"/>
    <w:multiLevelType w:val="hybridMultilevel"/>
    <w:tmpl w:val="D4288F8E"/>
    <w:lvl w:ilvl="0" w:tplc="8C122514">
      <w:numFmt w:val="bullet"/>
      <w:lvlText w:val="–"/>
      <w:lvlJc w:val="left"/>
      <w:pPr>
        <w:ind w:left="720" w:hanging="360"/>
      </w:pPr>
      <w:rPr>
        <w:rFonts w:ascii="Titillium" w:eastAsia="Calibri" w:hAnsi="Titillium" w:cs="Calibri" w:hint="default"/>
      </w:rPr>
    </w:lvl>
    <w:lvl w:ilvl="1" w:tplc="E3920316">
      <w:numFmt w:val="bullet"/>
      <w:lvlText w:val="-"/>
      <w:lvlJc w:val="left"/>
      <w:pPr>
        <w:ind w:left="1440" w:hanging="360"/>
      </w:pPr>
      <w:rPr>
        <w:rFonts w:ascii="Titillium" w:eastAsia="Calibri" w:hAnsi="Titillium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86BDF"/>
    <w:multiLevelType w:val="hybridMultilevel"/>
    <w:tmpl w:val="300A5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22E95"/>
    <w:multiLevelType w:val="hybridMultilevel"/>
    <w:tmpl w:val="6E1EFF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F17ED"/>
    <w:multiLevelType w:val="hybridMultilevel"/>
    <w:tmpl w:val="0F9C408E"/>
    <w:lvl w:ilvl="0" w:tplc="1C9CF5B0">
      <w:start w:val="3"/>
      <w:numFmt w:val="bullet"/>
      <w:lvlText w:val="–"/>
      <w:lvlJc w:val="left"/>
      <w:pPr>
        <w:ind w:left="720" w:hanging="360"/>
      </w:pPr>
      <w:rPr>
        <w:rFonts w:ascii="Titillium" w:eastAsia="Calibri" w:hAnsi="Titillium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625D6"/>
    <w:multiLevelType w:val="hybridMultilevel"/>
    <w:tmpl w:val="9A124C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74124"/>
    <w:multiLevelType w:val="hybridMultilevel"/>
    <w:tmpl w:val="6DB89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A287A"/>
    <w:multiLevelType w:val="hybridMultilevel"/>
    <w:tmpl w:val="50461AE6"/>
    <w:lvl w:ilvl="0" w:tplc="9C840E48">
      <w:numFmt w:val="bullet"/>
      <w:lvlText w:val="–"/>
      <w:lvlJc w:val="left"/>
      <w:pPr>
        <w:ind w:left="720" w:hanging="360"/>
      </w:pPr>
      <w:rPr>
        <w:rFonts w:ascii="Titillium" w:eastAsia="Calibri" w:hAnsi="Titillium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70787"/>
    <w:multiLevelType w:val="hybridMultilevel"/>
    <w:tmpl w:val="FA6829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9169D"/>
    <w:multiLevelType w:val="hybridMultilevel"/>
    <w:tmpl w:val="7960E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E11E0"/>
    <w:multiLevelType w:val="hybridMultilevel"/>
    <w:tmpl w:val="04FC9A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D2FF7"/>
    <w:multiLevelType w:val="hybridMultilevel"/>
    <w:tmpl w:val="82B618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03AD8"/>
    <w:multiLevelType w:val="hybridMultilevel"/>
    <w:tmpl w:val="556C9B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F0530A">
      <w:start w:val="3"/>
      <w:numFmt w:val="bullet"/>
      <w:lvlText w:val="–"/>
      <w:lvlJc w:val="left"/>
      <w:pPr>
        <w:ind w:left="1440" w:hanging="360"/>
      </w:pPr>
      <w:rPr>
        <w:rFonts w:ascii="Titillium" w:eastAsia="Calibri" w:hAnsi="Titillium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7">
      <w:start w:val="1"/>
      <w:numFmt w:val="lowerLetter"/>
      <w:lvlText w:val="%4)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D5C69"/>
    <w:multiLevelType w:val="hybridMultilevel"/>
    <w:tmpl w:val="F746E2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8022C"/>
    <w:multiLevelType w:val="hybridMultilevel"/>
    <w:tmpl w:val="E7982E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41CBE"/>
    <w:multiLevelType w:val="hybridMultilevel"/>
    <w:tmpl w:val="5AEC6C94"/>
    <w:lvl w:ilvl="0" w:tplc="11820056">
      <w:numFmt w:val="bullet"/>
      <w:lvlText w:val="–"/>
      <w:lvlJc w:val="left"/>
      <w:pPr>
        <w:ind w:left="720" w:hanging="360"/>
      </w:pPr>
      <w:rPr>
        <w:rFonts w:ascii="Titillium" w:eastAsia="Calibri" w:hAnsi="Titillium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6"/>
  </w:num>
  <w:num w:numId="4">
    <w:abstractNumId w:val="20"/>
  </w:num>
  <w:num w:numId="5">
    <w:abstractNumId w:val="33"/>
  </w:num>
  <w:num w:numId="6">
    <w:abstractNumId w:val="8"/>
  </w:num>
  <w:num w:numId="7">
    <w:abstractNumId w:val="10"/>
  </w:num>
  <w:num w:numId="8">
    <w:abstractNumId w:val="31"/>
  </w:num>
  <w:num w:numId="9">
    <w:abstractNumId w:val="19"/>
  </w:num>
  <w:num w:numId="10">
    <w:abstractNumId w:val="21"/>
  </w:num>
  <w:num w:numId="11">
    <w:abstractNumId w:val="25"/>
  </w:num>
  <w:num w:numId="12">
    <w:abstractNumId w:val="26"/>
  </w:num>
  <w:num w:numId="13">
    <w:abstractNumId w:val="30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32"/>
  </w:num>
  <w:num w:numId="19">
    <w:abstractNumId w:val="28"/>
  </w:num>
  <w:num w:numId="20">
    <w:abstractNumId w:val="4"/>
  </w:num>
  <w:num w:numId="21">
    <w:abstractNumId w:val="6"/>
  </w:num>
  <w:num w:numId="22">
    <w:abstractNumId w:val="22"/>
  </w:num>
  <w:num w:numId="23">
    <w:abstractNumId w:val="2"/>
  </w:num>
  <w:num w:numId="24">
    <w:abstractNumId w:val="9"/>
  </w:num>
  <w:num w:numId="25">
    <w:abstractNumId w:val="7"/>
  </w:num>
  <w:num w:numId="26">
    <w:abstractNumId w:val="13"/>
  </w:num>
  <w:num w:numId="27">
    <w:abstractNumId w:val="3"/>
  </w:num>
  <w:num w:numId="28">
    <w:abstractNumId w:val="1"/>
  </w:num>
  <w:num w:numId="29">
    <w:abstractNumId w:val="29"/>
  </w:num>
  <w:num w:numId="30">
    <w:abstractNumId w:val="5"/>
  </w:num>
  <w:num w:numId="31">
    <w:abstractNumId w:val="27"/>
  </w:num>
  <w:num w:numId="32">
    <w:abstractNumId w:val="18"/>
  </w:num>
  <w:num w:numId="33">
    <w:abstractNumId w:val="2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3A5"/>
    <w:rsid w:val="00006C95"/>
    <w:rsid w:val="00046099"/>
    <w:rsid w:val="000C48CA"/>
    <w:rsid w:val="000F5E8B"/>
    <w:rsid w:val="00101AF1"/>
    <w:rsid w:val="001150D1"/>
    <w:rsid w:val="001168C1"/>
    <w:rsid w:val="001413A5"/>
    <w:rsid w:val="0014543B"/>
    <w:rsid w:val="0017348A"/>
    <w:rsid w:val="001A01DA"/>
    <w:rsid w:val="001A230B"/>
    <w:rsid w:val="00247069"/>
    <w:rsid w:val="002726B7"/>
    <w:rsid w:val="00277D6F"/>
    <w:rsid w:val="0031511B"/>
    <w:rsid w:val="003626FC"/>
    <w:rsid w:val="003B32A4"/>
    <w:rsid w:val="00410FF9"/>
    <w:rsid w:val="004A4315"/>
    <w:rsid w:val="004F5359"/>
    <w:rsid w:val="00530215"/>
    <w:rsid w:val="0054158A"/>
    <w:rsid w:val="00552C39"/>
    <w:rsid w:val="0055317D"/>
    <w:rsid w:val="00576DD6"/>
    <w:rsid w:val="00583822"/>
    <w:rsid w:val="005D4882"/>
    <w:rsid w:val="006349CF"/>
    <w:rsid w:val="00666615"/>
    <w:rsid w:val="006E7B77"/>
    <w:rsid w:val="0070067A"/>
    <w:rsid w:val="00703F91"/>
    <w:rsid w:val="007E2F1C"/>
    <w:rsid w:val="007F6FAD"/>
    <w:rsid w:val="008274EE"/>
    <w:rsid w:val="0083298F"/>
    <w:rsid w:val="0084214F"/>
    <w:rsid w:val="00853A71"/>
    <w:rsid w:val="008A4E8A"/>
    <w:rsid w:val="00900452"/>
    <w:rsid w:val="00907C95"/>
    <w:rsid w:val="0096749A"/>
    <w:rsid w:val="009E3137"/>
    <w:rsid w:val="009F4D24"/>
    <w:rsid w:val="00A96F94"/>
    <w:rsid w:val="00B16353"/>
    <w:rsid w:val="00B50ECC"/>
    <w:rsid w:val="00B52B21"/>
    <w:rsid w:val="00BF0E20"/>
    <w:rsid w:val="00BF40E7"/>
    <w:rsid w:val="00C70A44"/>
    <w:rsid w:val="00D7367D"/>
    <w:rsid w:val="00DA06BB"/>
    <w:rsid w:val="00DA363D"/>
    <w:rsid w:val="00DD3C2B"/>
    <w:rsid w:val="00E147B5"/>
    <w:rsid w:val="00E22AA8"/>
    <w:rsid w:val="00E74270"/>
    <w:rsid w:val="00F17EA1"/>
    <w:rsid w:val="00FE266B"/>
    <w:rsid w:val="00FE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632B9"/>
  <w15:docId w15:val="{0291ABA4-A0BA-44CD-B360-20CC9BA5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6F94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widowControl w:val="0"/>
      <w:ind w:left="117"/>
      <w:outlineLvl w:val="3"/>
    </w:pPr>
    <w:rPr>
      <w:rFonts w:ascii="Arial" w:eastAsia="Arial" w:hAnsi="Arial" w:cs="Arial"/>
      <w:b/>
      <w:sz w:val="21"/>
      <w:szCs w:val="21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C2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C2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76D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DD6"/>
  </w:style>
  <w:style w:type="paragraph" w:styleId="Pidipagina">
    <w:name w:val="footer"/>
    <w:basedOn w:val="Normale"/>
    <w:link w:val="PidipaginaCarattere"/>
    <w:uiPriority w:val="99"/>
    <w:unhideWhenUsed/>
    <w:rsid w:val="00576D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DD6"/>
  </w:style>
  <w:style w:type="paragraph" w:styleId="Paragrafoelenco">
    <w:name w:val="List Paragraph"/>
    <w:basedOn w:val="Normale"/>
    <w:uiPriority w:val="34"/>
    <w:qFormat/>
    <w:rsid w:val="00006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4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Belletti Michelangelo (michelangelo.belletti)</cp:lastModifiedBy>
  <cp:revision>2</cp:revision>
  <cp:lastPrinted>2020-07-04T13:47:00Z</cp:lastPrinted>
  <dcterms:created xsi:type="dcterms:W3CDTF">2021-12-21T15:04:00Z</dcterms:created>
  <dcterms:modified xsi:type="dcterms:W3CDTF">2021-12-21T15:04:00Z</dcterms:modified>
</cp:coreProperties>
</file>